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A7A7" w14:textId="77777777" w:rsidR="0091533A" w:rsidRDefault="0091533A" w:rsidP="00B172DF">
      <w:pPr>
        <w:pStyle w:val="Title"/>
      </w:pPr>
    </w:p>
    <w:p w14:paraId="1E90703C" w14:textId="3E98F2A4" w:rsidR="00FB1514" w:rsidRDefault="00B832D9" w:rsidP="00B172DF">
      <w:pPr>
        <w:pStyle w:val="Title"/>
      </w:pPr>
      <w:r>
        <w:t>Q</w:t>
      </w:r>
      <w:r w:rsidR="000306A8">
        <w:t xml:space="preserve">Suite </w:t>
      </w:r>
      <w:r w:rsidR="00370C63">
        <w:t>26</w:t>
      </w:r>
      <w:r w:rsidR="00B172DF">
        <w:t xml:space="preserve">x </w:t>
      </w:r>
      <w:r w:rsidR="00FB1514">
        <w:t>Minimum Hardware &amp; Software Requirements</w:t>
      </w:r>
    </w:p>
    <w:sdt>
      <w:sdtPr>
        <w:rPr>
          <w:rFonts w:asciiTheme="minorHAnsi" w:eastAsiaTheme="minorHAnsi" w:hAnsiTheme="minorHAnsi" w:cstheme="minorBidi"/>
          <w:b w:val="0"/>
          <w:bCs w:val="0"/>
          <w:color w:val="auto"/>
          <w:sz w:val="22"/>
          <w:szCs w:val="22"/>
          <w:lang w:eastAsia="en-US"/>
        </w:rPr>
        <w:id w:val="-975522351"/>
        <w:docPartObj>
          <w:docPartGallery w:val="Table of Contents"/>
          <w:docPartUnique/>
        </w:docPartObj>
      </w:sdtPr>
      <w:sdtEndPr>
        <w:rPr>
          <w:noProof/>
        </w:rPr>
      </w:sdtEndPr>
      <w:sdtContent>
        <w:p w14:paraId="262E7AFA" w14:textId="77777777" w:rsidR="00B172DF" w:rsidRPr="00456A71" w:rsidRDefault="00B172DF">
          <w:pPr>
            <w:pStyle w:val="TOCHeading"/>
            <w:rPr>
              <w:rFonts w:asciiTheme="minorHAnsi" w:hAnsiTheme="minorHAnsi" w:cstheme="minorHAnsi"/>
            </w:rPr>
          </w:pPr>
          <w:r w:rsidRPr="00456A71">
            <w:rPr>
              <w:rFonts w:asciiTheme="minorHAnsi" w:hAnsiTheme="minorHAnsi" w:cstheme="minorHAnsi"/>
            </w:rPr>
            <w:t>Contents</w:t>
          </w:r>
        </w:p>
        <w:p w14:paraId="28327646" w14:textId="7C916841" w:rsidR="007F199B" w:rsidRDefault="00B172DF">
          <w:pPr>
            <w:pStyle w:val="TOC1"/>
            <w:tabs>
              <w:tab w:val="right" w:leader="dot" w:pos="10790"/>
            </w:tabs>
            <w:rPr>
              <w:rFonts w:eastAsiaTheme="minorEastAsia"/>
              <w:noProof/>
              <w:kern w:val="2"/>
              <w:sz w:val="24"/>
              <w:szCs w:val="24"/>
              <w:lang w:val="en-IN" w:eastAsia="en-IN"/>
              <w14:ligatures w14:val="standardContextual"/>
            </w:rPr>
          </w:pPr>
          <w:r>
            <w:fldChar w:fldCharType="begin"/>
          </w:r>
          <w:r>
            <w:instrText xml:space="preserve"> TOC \o "1-3" \h \z \u </w:instrText>
          </w:r>
          <w:r>
            <w:fldChar w:fldCharType="separate"/>
          </w:r>
          <w:hyperlink w:anchor="_Toc227163115" w:history="1">
            <w:r w:rsidR="007F199B" w:rsidRPr="00D700D8">
              <w:rPr>
                <w:rStyle w:val="Hyperlink"/>
                <w:noProof/>
              </w:rPr>
              <w:t>Disclaimer</w:t>
            </w:r>
            <w:r w:rsidR="007F199B">
              <w:rPr>
                <w:noProof/>
                <w:webHidden/>
              </w:rPr>
              <w:tab/>
            </w:r>
            <w:r w:rsidR="007F199B">
              <w:rPr>
                <w:noProof/>
                <w:webHidden/>
              </w:rPr>
              <w:fldChar w:fldCharType="begin"/>
            </w:r>
            <w:r w:rsidR="007F199B">
              <w:rPr>
                <w:noProof/>
                <w:webHidden/>
              </w:rPr>
              <w:instrText xml:space="preserve"> PAGEREF _Toc227163115 \h </w:instrText>
            </w:r>
            <w:r w:rsidR="007F199B">
              <w:rPr>
                <w:noProof/>
                <w:webHidden/>
              </w:rPr>
            </w:r>
            <w:r w:rsidR="007F199B">
              <w:rPr>
                <w:noProof/>
                <w:webHidden/>
              </w:rPr>
              <w:fldChar w:fldCharType="separate"/>
            </w:r>
            <w:r w:rsidR="007F199B">
              <w:rPr>
                <w:noProof/>
                <w:webHidden/>
              </w:rPr>
              <w:t>2</w:t>
            </w:r>
            <w:r w:rsidR="007F199B">
              <w:rPr>
                <w:noProof/>
                <w:webHidden/>
              </w:rPr>
              <w:fldChar w:fldCharType="end"/>
            </w:r>
          </w:hyperlink>
        </w:p>
        <w:p w14:paraId="32F01DD2" w14:textId="0EFA1C82" w:rsidR="007F199B" w:rsidRDefault="007F199B">
          <w:pPr>
            <w:pStyle w:val="TOC1"/>
            <w:tabs>
              <w:tab w:val="right" w:leader="dot" w:pos="10790"/>
            </w:tabs>
            <w:rPr>
              <w:rFonts w:eastAsiaTheme="minorEastAsia"/>
              <w:noProof/>
              <w:kern w:val="2"/>
              <w:sz w:val="24"/>
              <w:szCs w:val="24"/>
              <w:lang w:val="en-IN" w:eastAsia="en-IN"/>
              <w14:ligatures w14:val="standardContextual"/>
            </w:rPr>
          </w:pPr>
          <w:hyperlink w:anchor="_Toc227163116" w:history="1">
            <w:r w:rsidRPr="00D700D8">
              <w:rPr>
                <w:rStyle w:val="Hyperlink"/>
                <w:noProof/>
              </w:rPr>
              <w:t>Production Requirements</w:t>
            </w:r>
            <w:r>
              <w:rPr>
                <w:noProof/>
                <w:webHidden/>
              </w:rPr>
              <w:tab/>
            </w:r>
            <w:r>
              <w:rPr>
                <w:noProof/>
                <w:webHidden/>
              </w:rPr>
              <w:fldChar w:fldCharType="begin"/>
            </w:r>
            <w:r>
              <w:rPr>
                <w:noProof/>
                <w:webHidden/>
              </w:rPr>
              <w:instrText xml:space="preserve"> PAGEREF _Toc227163116 \h </w:instrText>
            </w:r>
            <w:r>
              <w:rPr>
                <w:noProof/>
                <w:webHidden/>
              </w:rPr>
            </w:r>
            <w:r>
              <w:rPr>
                <w:noProof/>
                <w:webHidden/>
              </w:rPr>
              <w:fldChar w:fldCharType="separate"/>
            </w:r>
            <w:r>
              <w:rPr>
                <w:noProof/>
                <w:webHidden/>
              </w:rPr>
              <w:t>2</w:t>
            </w:r>
            <w:r>
              <w:rPr>
                <w:noProof/>
                <w:webHidden/>
              </w:rPr>
              <w:fldChar w:fldCharType="end"/>
            </w:r>
          </w:hyperlink>
        </w:p>
        <w:p w14:paraId="40B4C938" w14:textId="0B33EBFF" w:rsidR="007F199B" w:rsidRDefault="007F199B">
          <w:pPr>
            <w:pStyle w:val="TOC2"/>
            <w:tabs>
              <w:tab w:val="right" w:leader="dot" w:pos="10790"/>
            </w:tabs>
            <w:rPr>
              <w:rFonts w:eastAsiaTheme="minorEastAsia"/>
              <w:noProof/>
              <w:kern w:val="2"/>
              <w:sz w:val="24"/>
              <w:szCs w:val="24"/>
              <w:lang w:val="en-IN" w:eastAsia="en-IN"/>
              <w14:ligatures w14:val="standardContextual"/>
            </w:rPr>
          </w:pPr>
          <w:hyperlink w:anchor="_Toc227163117" w:history="1">
            <w:r w:rsidRPr="00D700D8">
              <w:rPr>
                <w:rStyle w:val="Hyperlink"/>
                <w:noProof/>
              </w:rPr>
              <w:t>Network, Infrastructure, Backup, and Disaster Recovery Requirements</w:t>
            </w:r>
            <w:r>
              <w:rPr>
                <w:noProof/>
                <w:webHidden/>
              </w:rPr>
              <w:tab/>
            </w:r>
            <w:r>
              <w:rPr>
                <w:noProof/>
                <w:webHidden/>
              </w:rPr>
              <w:fldChar w:fldCharType="begin"/>
            </w:r>
            <w:r>
              <w:rPr>
                <w:noProof/>
                <w:webHidden/>
              </w:rPr>
              <w:instrText xml:space="preserve"> PAGEREF _Toc227163117 \h </w:instrText>
            </w:r>
            <w:r>
              <w:rPr>
                <w:noProof/>
                <w:webHidden/>
              </w:rPr>
            </w:r>
            <w:r>
              <w:rPr>
                <w:noProof/>
                <w:webHidden/>
              </w:rPr>
              <w:fldChar w:fldCharType="separate"/>
            </w:r>
            <w:r>
              <w:rPr>
                <w:noProof/>
                <w:webHidden/>
              </w:rPr>
              <w:t>2</w:t>
            </w:r>
            <w:r>
              <w:rPr>
                <w:noProof/>
                <w:webHidden/>
              </w:rPr>
              <w:fldChar w:fldCharType="end"/>
            </w:r>
          </w:hyperlink>
        </w:p>
        <w:p w14:paraId="72985191" w14:textId="7F74FBE1" w:rsidR="007F199B" w:rsidRDefault="007F199B">
          <w:pPr>
            <w:pStyle w:val="TOC2"/>
            <w:tabs>
              <w:tab w:val="right" w:leader="dot" w:pos="10790"/>
            </w:tabs>
            <w:rPr>
              <w:rFonts w:eastAsiaTheme="minorEastAsia"/>
              <w:noProof/>
              <w:kern w:val="2"/>
              <w:sz w:val="24"/>
              <w:szCs w:val="24"/>
              <w:lang w:val="en-IN" w:eastAsia="en-IN"/>
              <w14:ligatures w14:val="standardContextual"/>
            </w:rPr>
          </w:pPr>
          <w:hyperlink w:anchor="_Toc227163118" w:history="1">
            <w:r w:rsidRPr="00D700D8">
              <w:rPr>
                <w:rStyle w:val="Hyperlink"/>
                <w:noProof/>
              </w:rPr>
              <w:t>SQL Server</w:t>
            </w:r>
            <w:r>
              <w:rPr>
                <w:noProof/>
                <w:webHidden/>
              </w:rPr>
              <w:tab/>
            </w:r>
            <w:r>
              <w:rPr>
                <w:noProof/>
                <w:webHidden/>
              </w:rPr>
              <w:fldChar w:fldCharType="begin"/>
            </w:r>
            <w:r>
              <w:rPr>
                <w:noProof/>
                <w:webHidden/>
              </w:rPr>
              <w:instrText xml:space="preserve"> PAGEREF _Toc227163118 \h </w:instrText>
            </w:r>
            <w:r>
              <w:rPr>
                <w:noProof/>
                <w:webHidden/>
              </w:rPr>
            </w:r>
            <w:r>
              <w:rPr>
                <w:noProof/>
                <w:webHidden/>
              </w:rPr>
              <w:fldChar w:fldCharType="separate"/>
            </w:r>
            <w:r>
              <w:rPr>
                <w:noProof/>
                <w:webHidden/>
              </w:rPr>
              <w:t>2</w:t>
            </w:r>
            <w:r>
              <w:rPr>
                <w:noProof/>
                <w:webHidden/>
              </w:rPr>
              <w:fldChar w:fldCharType="end"/>
            </w:r>
          </w:hyperlink>
        </w:p>
        <w:p w14:paraId="587E1AEA" w14:textId="1CB29D5F"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19" w:history="1">
            <w:r w:rsidRPr="00D700D8">
              <w:rPr>
                <w:rStyle w:val="Hyperlink"/>
                <w:noProof/>
              </w:rPr>
              <w:t>Base requirements:</w:t>
            </w:r>
            <w:r>
              <w:rPr>
                <w:noProof/>
                <w:webHidden/>
              </w:rPr>
              <w:tab/>
            </w:r>
            <w:r>
              <w:rPr>
                <w:noProof/>
                <w:webHidden/>
              </w:rPr>
              <w:fldChar w:fldCharType="begin"/>
            </w:r>
            <w:r>
              <w:rPr>
                <w:noProof/>
                <w:webHidden/>
              </w:rPr>
              <w:instrText xml:space="preserve"> PAGEREF _Toc227163119 \h </w:instrText>
            </w:r>
            <w:r>
              <w:rPr>
                <w:noProof/>
                <w:webHidden/>
              </w:rPr>
            </w:r>
            <w:r>
              <w:rPr>
                <w:noProof/>
                <w:webHidden/>
              </w:rPr>
              <w:fldChar w:fldCharType="separate"/>
            </w:r>
            <w:r>
              <w:rPr>
                <w:noProof/>
                <w:webHidden/>
              </w:rPr>
              <w:t>3</w:t>
            </w:r>
            <w:r>
              <w:rPr>
                <w:noProof/>
                <w:webHidden/>
              </w:rPr>
              <w:fldChar w:fldCharType="end"/>
            </w:r>
          </w:hyperlink>
        </w:p>
        <w:p w14:paraId="78DB6AEE" w14:textId="0144BDEA"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0" w:history="1">
            <w:r w:rsidRPr="00D700D8">
              <w:rPr>
                <w:rStyle w:val="Hyperlink"/>
                <w:noProof/>
              </w:rPr>
              <w:t>Extended Requirements:</w:t>
            </w:r>
            <w:r>
              <w:rPr>
                <w:noProof/>
                <w:webHidden/>
              </w:rPr>
              <w:tab/>
            </w:r>
            <w:r>
              <w:rPr>
                <w:noProof/>
                <w:webHidden/>
              </w:rPr>
              <w:fldChar w:fldCharType="begin"/>
            </w:r>
            <w:r>
              <w:rPr>
                <w:noProof/>
                <w:webHidden/>
              </w:rPr>
              <w:instrText xml:space="preserve"> PAGEREF _Toc227163120 \h </w:instrText>
            </w:r>
            <w:r>
              <w:rPr>
                <w:noProof/>
                <w:webHidden/>
              </w:rPr>
            </w:r>
            <w:r>
              <w:rPr>
                <w:noProof/>
                <w:webHidden/>
              </w:rPr>
              <w:fldChar w:fldCharType="separate"/>
            </w:r>
            <w:r>
              <w:rPr>
                <w:noProof/>
                <w:webHidden/>
              </w:rPr>
              <w:t>3</w:t>
            </w:r>
            <w:r>
              <w:rPr>
                <w:noProof/>
                <w:webHidden/>
              </w:rPr>
              <w:fldChar w:fldCharType="end"/>
            </w:r>
          </w:hyperlink>
        </w:p>
        <w:p w14:paraId="14A22A32" w14:textId="566BC4B1"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1" w:history="1">
            <w:r w:rsidRPr="00D700D8">
              <w:rPr>
                <w:rStyle w:val="Hyperlink"/>
                <w:noProof/>
              </w:rPr>
              <w:t>Disk Space Requirements:</w:t>
            </w:r>
            <w:r>
              <w:rPr>
                <w:noProof/>
                <w:webHidden/>
              </w:rPr>
              <w:tab/>
            </w:r>
            <w:r>
              <w:rPr>
                <w:noProof/>
                <w:webHidden/>
              </w:rPr>
              <w:fldChar w:fldCharType="begin"/>
            </w:r>
            <w:r>
              <w:rPr>
                <w:noProof/>
                <w:webHidden/>
              </w:rPr>
              <w:instrText xml:space="preserve"> PAGEREF _Toc227163121 \h </w:instrText>
            </w:r>
            <w:r>
              <w:rPr>
                <w:noProof/>
                <w:webHidden/>
              </w:rPr>
            </w:r>
            <w:r>
              <w:rPr>
                <w:noProof/>
                <w:webHidden/>
              </w:rPr>
              <w:fldChar w:fldCharType="separate"/>
            </w:r>
            <w:r>
              <w:rPr>
                <w:noProof/>
                <w:webHidden/>
              </w:rPr>
              <w:t>4</w:t>
            </w:r>
            <w:r>
              <w:rPr>
                <w:noProof/>
                <w:webHidden/>
              </w:rPr>
              <w:fldChar w:fldCharType="end"/>
            </w:r>
          </w:hyperlink>
        </w:p>
        <w:p w14:paraId="2C396BD9" w14:textId="75FF859C"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2" w:history="1">
            <w:r w:rsidRPr="00D700D8">
              <w:rPr>
                <w:rStyle w:val="Hyperlink"/>
                <w:noProof/>
              </w:rPr>
              <w:t>Peripheral Support:</w:t>
            </w:r>
            <w:r>
              <w:rPr>
                <w:noProof/>
                <w:webHidden/>
              </w:rPr>
              <w:tab/>
            </w:r>
            <w:r>
              <w:rPr>
                <w:noProof/>
                <w:webHidden/>
              </w:rPr>
              <w:fldChar w:fldCharType="begin"/>
            </w:r>
            <w:r>
              <w:rPr>
                <w:noProof/>
                <w:webHidden/>
              </w:rPr>
              <w:instrText xml:space="preserve"> PAGEREF _Toc227163122 \h </w:instrText>
            </w:r>
            <w:r>
              <w:rPr>
                <w:noProof/>
                <w:webHidden/>
              </w:rPr>
            </w:r>
            <w:r>
              <w:rPr>
                <w:noProof/>
                <w:webHidden/>
              </w:rPr>
              <w:fldChar w:fldCharType="separate"/>
            </w:r>
            <w:r>
              <w:rPr>
                <w:noProof/>
                <w:webHidden/>
              </w:rPr>
              <w:t>5</w:t>
            </w:r>
            <w:r>
              <w:rPr>
                <w:noProof/>
                <w:webHidden/>
              </w:rPr>
              <w:fldChar w:fldCharType="end"/>
            </w:r>
          </w:hyperlink>
        </w:p>
        <w:p w14:paraId="31EB39B3" w14:textId="638CAF16"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3" w:history="1">
            <w:r w:rsidRPr="00D700D8">
              <w:rPr>
                <w:rStyle w:val="Hyperlink"/>
                <w:noProof/>
              </w:rPr>
              <w:t>Base requirements:</w:t>
            </w:r>
            <w:r>
              <w:rPr>
                <w:noProof/>
                <w:webHidden/>
              </w:rPr>
              <w:tab/>
            </w:r>
            <w:r>
              <w:rPr>
                <w:noProof/>
                <w:webHidden/>
              </w:rPr>
              <w:fldChar w:fldCharType="begin"/>
            </w:r>
            <w:r>
              <w:rPr>
                <w:noProof/>
                <w:webHidden/>
              </w:rPr>
              <w:instrText xml:space="preserve"> PAGEREF _Toc227163123 \h </w:instrText>
            </w:r>
            <w:r>
              <w:rPr>
                <w:noProof/>
                <w:webHidden/>
              </w:rPr>
            </w:r>
            <w:r>
              <w:rPr>
                <w:noProof/>
                <w:webHidden/>
              </w:rPr>
              <w:fldChar w:fldCharType="separate"/>
            </w:r>
            <w:r>
              <w:rPr>
                <w:noProof/>
                <w:webHidden/>
              </w:rPr>
              <w:t>5</w:t>
            </w:r>
            <w:r>
              <w:rPr>
                <w:noProof/>
                <w:webHidden/>
              </w:rPr>
              <w:fldChar w:fldCharType="end"/>
            </w:r>
          </w:hyperlink>
        </w:p>
        <w:p w14:paraId="28116803" w14:textId="6EF9A07C" w:rsidR="007F199B" w:rsidRDefault="007F199B">
          <w:pPr>
            <w:pStyle w:val="TOC2"/>
            <w:tabs>
              <w:tab w:val="right" w:leader="dot" w:pos="10790"/>
            </w:tabs>
            <w:rPr>
              <w:rFonts w:eastAsiaTheme="minorEastAsia"/>
              <w:noProof/>
              <w:kern w:val="2"/>
              <w:sz w:val="24"/>
              <w:szCs w:val="24"/>
              <w:lang w:val="en-IN" w:eastAsia="en-IN"/>
              <w14:ligatures w14:val="standardContextual"/>
            </w:rPr>
          </w:pPr>
          <w:hyperlink w:anchor="_Toc227163124" w:history="1">
            <w:r w:rsidRPr="00D700D8">
              <w:rPr>
                <w:rStyle w:val="Hyperlink"/>
                <w:noProof/>
              </w:rPr>
              <w:t>Thick Client Requirements</w:t>
            </w:r>
            <w:r>
              <w:rPr>
                <w:noProof/>
                <w:webHidden/>
              </w:rPr>
              <w:tab/>
            </w:r>
            <w:r>
              <w:rPr>
                <w:noProof/>
                <w:webHidden/>
              </w:rPr>
              <w:fldChar w:fldCharType="begin"/>
            </w:r>
            <w:r>
              <w:rPr>
                <w:noProof/>
                <w:webHidden/>
              </w:rPr>
              <w:instrText xml:space="preserve"> PAGEREF _Toc227163124 \h </w:instrText>
            </w:r>
            <w:r>
              <w:rPr>
                <w:noProof/>
                <w:webHidden/>
              </w:rPr>
            </w:r>
            <w:r>
              <w:rPr>
                <w:noProof/>
                <w:webHidden/>
              </w:rPr>
              <w:fldChar w:fldCharType="separate"/>
            </w:r>
            <w:r>
              <w:rPr>
                <w:noProof/>
                <w:webHidden/>
              </w:rPr>
              <w:t>6</w:t>
            </w:r>
            <w:r>
              <w:rPr>
                <w:noProof/>
                <w:webHidden/>
              </w:rPr>
              <w:fldChar w:fldCharType="end"/>
            </w:r>
          </w:hyperlink>
        </w:p>
        <w:p w14:paraId="3ED008B7" w14:textId="72450FFF"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5" w:history="1">
            <w:r w:rsidRPr="00D700D8">
              <w:rPr>
                <w:rStyle w:val="Hyperlink"/>
                <w:noProof/>
              </w:rPr>
              <w:t>Base Requirements:</w:t>
            </w:r>
            <w:r>
              <w:rPr>
                <w:noProof/>
                <w:webHidden/>
              </w:rPr>
              <w:tab/>
            </w:r>
            <w:r>
              <w:rPr>
                <w:noProof/>
                <w:webHidden/>
              </w:rPr>
              <w:fldChar w:fldCharType="begin"/>
            </w:r>
            <w:r>
              <w:rPr>
                <w:noProof/>
                <w:webHidden/>
              </w:rPr>
              <w:instrText xml:space="preserve"> PAGEREF _Toc227163125 \h </w:instrText>
            </w:r>
            <w:r>
              <w:rPr>
                <w:noProof/>
                <w:webHidden/>
              </w:rPr>
            </w:r>
            <w:r>
              <w:rPr>
                <w:noProof/>
                <w:webHidden/>
              </w:rPr>
              <w:fldChar w:fldCharType="separate"/>
            </w:r>
            <w:r>
              <w:rPr>
                <w:noProof/>
                <w:webHidden/>
              </w:rPr>
              <w:t>6</w:t>
            </w:r>
            <w:r>
              <w:rPr>
                <w:noProof/>
                <w:webHidden/>
              </w:rPr>
              <w:fldChar w:fldCharType="end"/>
            </w:r>
          </w:hyperlink>
        </w:p>
        <w:p w14:paraId="4DEB3536" w14:textId="7C50EC43" w:rsidR="007F199B" w:rsidRDefault="007F199B">
          <w:pPr>
            <w:pStyle w:val="TOC3"/>
            <w:tabs>
              <w:tab w:val="right" w:leader="dot" w:pos="10790"/>
            </w:tabs>
            <w:rPr>
              <w:rFonts w:eastAsiaTheme="minorEastAsia"/>
              <w:noProof/>
              <w:kern w:val="2"/>
              <w:sz w:val="24"/>
              <w:szCs w:val="24"/>
              <w:lang w:val="en-IN" w:eastAsia="en-IN"/>
              <w14:ligatures w14:val="standardContextual"/>
            </w:rPr>
          </w:pPr>
          <w:hyperlink w:anchor="_Toc227163126" w:history="1">
            <w:r w:rsidRPr="00D700D8">
              <w:rPr>
                <w:rStyle w:val="Hyperlink"/>
                <w:noProof/>
              </w:rPr>
              <w:t>Peripheral Support:</w:t>
            </w:r>
            <w:r>
              <w:rPr>
                <w:noProof/>
                <w:webHidden/>
              </w:rPr>
              <w:tab/>
            </w:r>
            <w:r>
              <w:rPr>
                <w:noProof/>
                <w:webHidden/>
              </w:rPr>
              <w:fldChar w:fldCharType="begin"/>
            </w:r>
            <w:r>
              <w:rPr>
                <w:noProof/>
                <w:webHidden/>
              </w:rPr>
              <w:instrText xml:space="preserve"> PAGEREF _Toc227163126 \h </w:instrText>
            </w:r>
            <w:r>
              <w:rPr>
                <w:noProof/>
                <w:webHidden/>
              </w:rPr>
            </w:r>
            <w:r>
              <w:rPr>
                <w:noProof/>
                <w:webHidden/>
              </w:rPr>
              <w:fldChar w:fldCharType="separate"/>
            </w:r>
            <w:r>
              <w:rPr>
                <w:noProof/>
                <w:webHidden/>
              </w:rPr>
              <w:t>6</w:t>
            </w:r>
            <w:r>
              <w:rPr>
                <w:noProof/>
                <w:webHidden/>
              </w:rPr>
              <w:fldChar w:fldCharType="end"/>
            </w:r>
          </w:hyperlink>
        </w:p>
        <w:p w14:paraId="53654590" w14:textId="4BE132E5" w:rsidR="007F199B" w:rsidRDefault="007F199B">
          <w:pPr>
            <w:pStyle w:val="TOC1"/>
            <w:tabs>
              <w:tab w:val="right" w:leader="dot" w:pos="10790"/>
            </w:tabs>
            <w:rPr>
              <w:rFonts w:eastAsiaTheme="minorEastAsia"/>
              <w:noProof/>
              <w:kern w:val="2"/>
              <w:sz w:val="24"/>
              <w:szCs w:val="24"/>
              <w:lang w:val="en-IN" w:eastAsia="en-IN"/>
              <w14:ligatures w14:val="standardContextual"/>
            </w:rPr>
          </w:pPr>
          <w:hyperlink w:anchor="_Toc227163127" w:history="1">
            <w:r w:rsidRPr="00D700D8">
              <w:rPr>
                <w:rStyle w:val="Hyperlink"/>
                <w:noProof/>
              </w:rPr>
              <w:t>Virtualization Technologies</w:t>
            </w:r>
            <w:r>
              <w:rPr>
                <w:noProof/>
                <w:webHidden/>
              </w:rPr>
              <w:tab/>
            </w:r>
            <w:r>
              <w:rPr>
                <w:noProof/>
                <w:webHidden/>
              </w:rPr>
              <w:fldChar w:fldCharType="begin"/>
            </w:r>
            <w:r>
              <w:rPr>
                <w:noProof/>
                <w:webHidden/>
              </w:rPr>
              <w:instrText xml:space="preserve"> PAGEREF _Toc227163127 \h </w:instrText>
            </w:r>
            <w:r>
              <w:rPr>
                <w:noProof/>
                <w:webHidden/>
              </w:rPr>
            </w:r>
            <w:r>
              <w:rPr>
                <w:noProof/>
                <w:webHidden/>
              </w:rPr>
              <w:fldChar w:fldCharType="separate"/>
            </w:r>
            <w:r>
              <w:rPr>
                <w:noProof/>
                <w:webHidden/>
              </w:rPr>
              <w:t>6</w:t>
            </w:r>
            <w:r>
              <w:rPr>
                <w:noProof/>
                <w:webHidden/>
              </w:rPr>
              <w:fldChar w:fldCharType="end"/>
            </w:r>
          </w:hyperlink>
        </w:p>
        <w:p w14:paraId="6F2A8332" w14:textId="2046FA54" w:rsidR="007F199B" w:rsidRDefault="007F199B">
          <w:pPr>
            <w:pStyle w:val="TOC1"/>
            <w:tabs>
              <w:tab w:val="right" w:leader="dot" w:pos="10790"/>
            </w:tabs>
            <w:rPr>
              <w:rFonts w:eastAsiaTheme="minorEastAsia"/>
              <w:noProof/>
              <w:kern w:val="2"/>
              <w:sz w:val="24"/>
              <w:szCs w:val="24"/>
              <w:lang w:val="en-IN" w:eastAsia="en-IN"/>
              <w14:ligatures w14:val="standardContextual"/>
            </w:rPr>
          </w:pPr>
          <w:hyperlink w:anchor="_Toc227163128" w:history="1">
            <w:r w:rsidRPr="00D700D8">
              <w:rPr>
                <w:rStyle w:val="Hyperlink"/>
                <w:noProof/>
              </w:rPr>
              <w:t>Configuration Diagram Samples</w:t>
            </w:r>
            <w:r>
              <w:rPr>
                <w:noProof/>
                <w:webHidden/>
              </w:rPr>
              <w:tab/>
            </w:r>
            <w:r>
              <w:rPr>
                <w:noProof/>
                <w:webHidden/>
              </w:rPr>
              <w:fldChar w:fldCharType="begin"/>
            </w:r>
            <w:r>
              <w:rPr>
                <w:noProof/>
                <w:webHidden/>
              </w:rPr>
              <w:instrText xml:space="preserve"> PAGEREF _Toc227163128 \h </w:instrText>
            </w:r>
            <w:r>
              <w:rPr>
                <w:noProof/>
                <w:webHidden/>
              </w:rPr>
            </w:r>
            <w:r>
              <w:rPr>
                <w:noProof/>
                <w:webHidden/>
              </w:rPr>
              <w:fldChar w:fldCharType="separate"/>
            </w:r>
            <w:r>
              <w:rPr>
                <w:noProof/>
                <w:webHidden/>
              </w:rPr>
              <w:t>6</w:t>
            </w:r>
            <w:r>
              <w:rPr>
                <w:noProof/>
                <w:webHidden/>
              </w:rPr>
              <w:fldChar w:fldCharType="end"/>
            </w:r>
          </w:hyperlink>
        </w:p>
        <w:p w14:paraId="4CF805DB" w14:textId="7C366665" w:rsidR="007F199B" w:rsidRDefault="007F199B">
          <w:pPr>
            <w:pStyle w:val="TOC2"/>
            <w:tabs>
              <w:tab w:val="right" w:leader="dot" w:pos="10790"/>
            </w:tabs>
            <w:rPr>
              <w:rFonts w:eastAsiaTheme="minorEastAsia"/>
              <w:noProof/>
              <w:kern w:val="2"/>
              <w:sz w:val="24"/>
              <w:szCs w:val="24"/>
              <w:lang w:val="en-IN" w:eastAsia="en-IN"/>
              <w14:ligatures w14:val="standardContextual"/>
            </w:rPr>
          </w:pPr>
          <w:hyperlink w:anchor="_Toc227163129" w:history="1">
            <w:r w:rsidRPr="00D700D8">
              <w:rPr>
                <w:rStyle w:val="Hyperlink"/>
                <w:noProof/>
              </w:rPr>
              <w:t>Basic Thick Client Deployment – 1 location</w:t>
            </w:r>
            <w:r>
              <w:rPr>
                <w:noProof/>
                <w:webHidden/>
              </w:rPr>
              <w:tab/>
            </w:r>
            <w:r>
              <w:rPr>
                <w:noProof/>
                <w:webHidden/>
              </w:rPr>
              <w:fldChar w:fldCharType="begin"/>
            </w:r>
            <w:r>
              <w:rPr>
                <w:noProof/>
                <w:webHidden/>
              </w:rPr>
              <w:instrText xml:space="preserve"> PAGEREF _Toc227163129 \h </w:instrText>
            </w:r>
            <w:r>
              <w:rPr>
                <w:noProof/>
                <w:webHidden/>
              </w:rPr>
            </w:r>
            <w:r>
              <w:rPr>
                <w:noProof/>
                <w:webHidden/>
              </w:rPr>
              <w:fldChar w:fldCharType="separate"/>
            </w:r>
            <w:r>
              <w:rPr>
                <w:noProof/>
                <w:webHidden/>
              </w:rPr>
              <w:t>6</w:t>
            </w:r>
            <w:r>
              <w:rPr>
                <w:noProof/>
                <w:webHidden/>
              </w:rPr>
              <w:fldChar w:fldCharType="end"/>
            </w:r>
          </w:hyperlink>
        </w:p>
        <w:p w14:paraId="29F8601C" w14:textId="62058397" w:rsidR="00B172DF" w:rsidRDefault="00B172DF">
          <w:r>
            <w:rPr>
              <w:b/>
              <w:bCs/>
              <w:noProof/>
            </w:rPr>
            <w:fldChar w:fldCharType="end"/>
          </w:r>
        </w:p>
      </w:sdtContent>
    </w:sdt>
    <w:p w14:paraId="388BCF04" w14:textId="77777777" w:rsidR="00456A71" w:rsidRDefault="00456A71">
      <w:pPr>
        <w:rPr>
          <w:rFonts w:eastAsiaTheme="majorEastAsia" w:cstheme="majorBidi"/>
          <w:b/>
          <w:bCs/>
          <w:color w:val="365F91" w:themeColor="accent1" w:themeShade="BF"/>
          <w:sz w:val="36"/>
          <w:szCs w:val="28"/>
        </w:rPr>
      </w:pPr>
      <w:r>
        <w:br w:type="page"/>
      </w:r>
    </w:p>
    <w:p w14:paraId="669192CF" w14:textId="77777777" w:rsidR="000306A8" w:rsidRDefault="000306A8" w:rsidP="00F32923">
      <w:pPr>
        <w:pStyle w:val="Heading1"/>
      </w:pPr>
      <w:bookmarkStart w:id="0" w:name="_Toc227163115"/>
      <w:r>
        <w:lastRenderedPageBreak/>
        <w:t>Disclaimer</w:t>
      </w:r>
      <w:bookmarkEnd w:id="0"/>
    </w:p>
    <w:p w14:paraId="7B1A753A" w14:textId="7B490532" w:rsidR="00D70085" w:rsidRPr="00290EF3" w:rsidRDefault="00D70085" w:rsidP="00D70085">
      <w:pPr>
        <w:rPr>
          <w:sz w:val="16"/>
          <w:szCs w:val="16"/>
        </w:rPr>
      </w:pPr>
      <w:r w:rsidRPr="00290EF3">
        <w:rPr>
          <w:sz w:val="16"/>
          <w:szCs w:val="16"/>
        </w:rPr>
        <w:t xml:space="preserve">The information provided in this guide pertains only to the documented software and hardware configurations as of its last update. Any software or hardware configurations not explicitly mentioned or covered in this guide are beyond its scope and should be approached with caution. We cannot guarantee the accuracy, reliability, or suitability of any undocumented configurations, and their use may result in unintended consequences, including system instability, data loss, or security vulnerabilities. It is essential to exercise prudence and seek advice from TRIARQ Health when dealing with any unmentioned software or hardware configurations. Additionally, we disclaim any liability for damages or issues arising from the use of such undocumented configurations. Remember that modifying software or hardware configurations beyond the official technical guidelines listed in this document may </w:t>
      </w:r>
      <w:r w:rsidR="00536188" w:rsidRPr="00290EF3">
        <w:rPr>
          <w:sz w:val="16"/>
          <w:szCs w:val="16"/>
        </w:rPr>
        <w:t>prevent</w:t>
      </w:r>
      <w:r w:rsidRPr="00290EF3">
        <w:rPr>
          <w:sz w:val="16"/>
          <w:szCs w:val="16"/>
        </w:rPr>
        <w:t xml:space="preserve"> warranties or support agreements with TRIARQ Health and/or with relevant vendors or manufacturers. Therefore, proceed at your own risk and take appropriate measures to safeguard your systems and data.  </w:t>
      </w:r>
    </w:p>
    <w:p w14:paraId="1717B403" w14:textId="77777777" w:rsidR="00542149" w:rsidRPr="00290EF3" w:rsidRDefault="00D70085" w:rsidP="00D70085">
      <w:pPr>
        <w:rPr>
          <w:sz w:val="16"/>
          <w:szCs w:val="16"/>
        </w:rPr>
      </w:pPr>
      <w:r w:rsidRPr="00290EF3">
        <w:rPr>
          <w:sz w:val="16"/>
          <w:szCs w:val="16"/>
        </w:rPr>
        <w:t xml:space="preserve">If there are any questions, please contact the TRIARQ Health’s Support team at incident@triarqhealth.com. </w:t>
      </w:r>
    </w:p>
    <w:p w14:paraId="6F66F130" w14:textId="77777777" w:rsidR="00E4798C" w:rsidRDefault="00E4798C" w:rsidP="00E4798C">
      <w:pPr>
        <w:pStyle w:val="Heading1"/>
      </w:pPr>
      <w:bookmarkStart w:id="1" w:name="_Toc227163116"/>
      <w:r>
        <w:t>Production Requirements</w:t>
      </w:r>
      <w:bookmarkEnd w:id="1"/>
    </w:p>
    <w:tbl>
      <w:tblPr>
        <w:tblStyle w:val="TableGrid"/>
        <w:tblW w:w="10656" w:type="dxa"/>
        <w:tblLook w:val="04A0" w:firstRow="1" w:lastRow="0" w:firstColumn="1" w:lastColumn="0" w:noHBand="0" w:noVBand="1"/>
      </w:tblPr>
      <w:tblGrid>
        <w:gridCol w:w="10656"/>
      </w:tblGrid>
      <w:tr w:rsidR="00E406EE" w14:paraId="32AD62F0" w14:textId="77777777" w:rsidTr="004D1F83">
        <w:tc>
          <w:tcPr>
            <w:tcW w:w="10656" w:type="dxa"/>
            <w:shd w:val="clear" w:color="auto" w:fill="F2F2F2" w:themeFill="background1" w:themeFillShade="F2"/>
          </w:tcPr>
          <w:p w14:paraId="5B3F9E6B" w14:textId="77777777" w:rsidR="00E406EE" w:rsidRDefault="00F638D5" w:rsidP="00F32923">
            <w:pPr>
              <w:pStyle w:val="Heading2"/>
            </w:pPr>
            <w:bookmarkStart w:id="2" w:name="_Toc227163117"/>
            <w:r>
              <w:t>Network,</w:t>
            </w:r>
            <w:r w:rsidR="00E406EE">
              <w:t xml:space="preserve"> Infrastructure</w:t>
            </w:r>
            <w:r>
              <w:t>, Backup, and Disaster Recovery</w:t>
            </w:r>
            <w:r w:rsidR="00E406EE">
              <w:t xml:space="preserve"> Requirements</w:t>
            </w:r>
            <w:bookmarkEnd w:id="2"/>
          </w:p>
        </w:tc>
      </w:tr>
      <w:tr w:rsidR="00E406EE" w14:paraId="6C5F2A6E" w14:textId="77777777" w:rsidTr="004D1F83">
        <w:tc>
          <w:tcPr>
            <w:tcW w:w="10656" w:type="dxa"/>
          </w:tcPr>
          <w:p w14:paraId="40B95286" w14:textId="175A6451" w:rsidR="00E406EE" w:rsidRDefault="00BB4B90" w:rsidP="00E406EE">
            <w:r>
              <w:t>TRIARQ</w:t>
            </w:r>
            <w:r w:rsidR="00E406EE">
              <w:t xml:space="preserve"> </w:t>
            </w:r>
            <w:r w:rsidR="0047330B">
              <w:t xml:space="preserve">Health </w:t>
            </w:r>
            <w:r w:rsidR="00E406EE">
              <w:t>is not responsible for the practice’s Network &amp; Infrastruc</w:t>
            </w:r>
            <w:r w:rsidR="005E1211">
              <w:t>ture</w:t>
            </w:r>
            <w:r w:rsidR="00624D76">
              <w:t xml:space="preserve"> and will not be supported by </w:t>
            </w:r>
            <w:r>
              <w:t>TRIARQ</w:t>
            </w:r>
            <w:r w:rsidR="0047330B">
              <w:t xml:space="preserve"> Health</w:t>
            </w:r>
            <w:r w:rsidR="005E1211">
              <w:t xml:space="preserve">.  </w:t>
            </w:r>
            <w:r w:rsidR="004A3313">
              <w:t>T</w:t>
            </w:r>
            <w:r w:rsidR="005E1211">
              <w:t>here are minimum requirements which must be met prior to implementation:</w:t>
            </w:r>
          </w:p>
          <w:p w14:paraId="209FC782" w14:textId="7E16D40A" w:rsidR="005E1211" w:rsidRDefault="005E1211" w:rsidP="006F4F62">
            <w:pPr>
              <w:pStyle w:val="ListParagraph"/>
              <w:numPr>
                <w:ilvl w:val="0"/>
                <w:numId w:val="8"/>
              </w:numPr>
            </w:pPr>
            <w:r>
              <w:t>Network equipment (switches, routers, modems, NAS devices, etc.), practice servers</w:t>
            </w:r>
            <w:r w:rsidR="00A2482B">
              <w:t xml:space="preserve"> and</w:t>
            </w:r>
            <w:r>
              <w:t xml:space="preserve"> </w:t>
            </w:r>
            <w:r w:rsidR="00B67353">
              <w:t>SQL Server</w:t>
            </w:r>
            <w:r w:rsidR="00A2482B">
              <w:t xml:space="preserve"> </w:t>
            </w:r>
            <w:r>
              <w:t xml:space="preserve">must reside in a secure (only accessible by authorized personnel), dedicated area where everyday practice functions will not interfere with their uptime.  It is also assumed that temperature and humidity levels will be in line with manufacturer specifications.  Uninterruptible Power Supply Units (UPS) with adequate power capacity must be used with said network equipment. </w:t>
            </w:r>
          </w:p>
          <w:p w14:paraId="2CB57E20" w14:textId="77777777" w:rsidR="005E1211" w:rsidRDefault="005E1211" w:rsidP="006F4F62">
            <w:pPr>
              <w:pStyle w:val="ListParagraph"/>
              <w:numPr>
                <w:ilvl w:val="0"/>
                <w:numId w:val="8"/>
              </w:numPr>
            </w:pPr>
            <w:r>
              <w:t xml:space="preserve">All workstations and servers used with </w:t>
            </w:r>
            <w:r w:rsidR="00B832D9">
              <w:t>QSuite</w:t>
            </w:r>
            <w:r>
              <w:t xml:space="preserve"> must be joined to a domain</w:t>
            </w:r>
          </w:p>
          <w:p w14:paraId="49B4586F" w14:textId="77777777" w:rsidR="005E1211" w:rsidRDefault="005E1211" w:rsidP="006F4F62">
            <w:pPr>
              <w:pStyle w:val="ListParagraph"/>
              <w:numPr>
                <w:ilvl w:val="0"/>
                <w:numId w:val="8"/>
              </w:numPr>
            </w:pPr>
            <w:r>
              <w:t xml:space="preserve">Malware and Anti-virus software must be used to protect </w:t>
            </w:r>
            <w:r w:rsidR="00A04C8A">
              <w:t>server and workstation equipment.  SQL database LDF and MDF files must be excluded from Malware / Anti-Virus software scans.</w:t>
            </w:r>
          </w:p>
          <w:p w14:paraId="26B166C1" w14:textId="77777777" w:rsidR="00A04C8A" w:rsidRDefault="00A04C8A" w:rsidP="006F4F62">
            <w:pPr>
              <w:pStyle w:val="ListParagraph"/>
              <w:numPr>
                <w:ilvl w:val="0"/>
                <w:numId w:val="8"/>
              </w:numPr>
            </w:pPr>
            <w:r>
              <w:t>Port 21 must be accessible for FTP access at practice (used for updates)</w:t>
            </w:r>
          </w:p>
          <w:p w14:paraId="7EBFB813" w14:textId="77777777" w:rsidR="000D6D2A" w:rsidRDefault="000D6D2A" w:rsidP="006F4F62">
            <w:pPr>
              <w:pStyle w:val="ListParagraph"/>
              <w:numPr>
                <w:ilvl w:val="0"/>
                <w:numId w:val="8"/>
              </w:numPr>
            </w:pPr>
            <w:r>
              <w:t>Port 6077 and 6078 firewall exceptions created if Remote Scan will be used</w:t>
            </w:r>
          </w:p>
          <w:p w14:paraId="1C05B96D" w14:textId="77777777" w:rsidR="000D6D2A" w:rsidRDefault="000D6D2A" w:rsidP="006F4F62">
            <w:pPr>
              <w:pStyle w:val="ListParagraph"/>
              <w:numPr>
                <w:ilvl w:val="0"/>
                <w:numId w:val="8"/>
              </w:numPr>
            </w:pPr>
            <w:r>
              <w:t>Port 47289 and 47290 firewall exceptions created if SigSock will be used remotely (signature pads)</w:t>
            </w:r>
          </w:p>
          <w:p w14:paraId="22A73C47" w14:textId="77777777" w:rsidR="00A04C8A" w:rsidRDefault="00A04C8A" w:rsidP="006F4F62">
            <w:pPr>
              <w:pStyle w:val="ListParagraph"/>
              <w:numPr>
                <w:ilvl w:val="0"/>
                <w:numId w:val="8"/>
              </w:numPr>
            </w:pPr>
            <w:r w:rsidRPr="00A04C8A">
              <w:t>Exception for port 1433 for firewall settings must be made on SQL Server and client machines</w:t>
            </w:r>
            <w:r w:rsidR="003057F1">
              <w:t xml:space="preserve"> (internal network)</w:t>
            </w:r>
          </w:p>
          <w:p w14:paraId="04C033AF" w14:textId="77777777" w:rsidR="00A04C8A" w:rsidRDefault="00A04C8A" w:rsidP="006F4F62">
            <w:pPr>
              <w:pStyle w:val="ListParagraph"/>
              <w:numPr>
                <w:ilvl w:val="0"/>
                <w:numId w:val="8"/>
              </w:numPr>
            </w:pPr>
            <w:r>
              <w:t xml:space="preserve">Gigabit LAN is </w:t>
            </w:r>
            <w:r w:rsidR="0098507C">
              <w:t>required</w:t>
            </w:r>
            <w:r>
              <w:t xml:space="preserve"> throughout the practice</w:t>
            </w:r>
          </w:p>
          <w:p w14:paraId="29A3705B" w14:textId="5E1D60BC" w:rsidR="00F638D5" w:rsidRDefault="00F638D5" w:rsidP="006F4F62">
            <w:pPr>
              <w:pStyle w:val="ListParagraph"/>
              <w:numPr>
                <w:ilvl w:val="0"/>
                <w:numId w:val="8"/>
              </w:numPr>
            </w:pPr>
            <w:r>
              <w:t>The practice and/or Managed Services Provider (MSP) will be responsible for backups and a d</w:t>
            </w:r>
            <w:r w:rsidR="00E56EAA">
              <w:t>isaster recovery plan.</w:t>
            </w:r>
            <w:r>
              <w:t xml:space="preserve"> </w:t>
            </w:r>
            <w:r w:rsidR="00E56EAA">
              <w:t xml:space="preserve">Scheduled </w:t>
            </w:r>
            <w:r>
              <w:t xml:space="preserve">SQL </w:t>
            </w:r>
            <w:r w:rsidR="00E56EAA">
              <w:t xml:space="preserve">Maintenance plan for </w:t>
            </w:r>
            <w:r>
              <w:t>database backup</w:t>
            </w:r>
            <w:r w:rsidR="00E56EAA">
              <w:t>s</w:t>
            </w:r>
            <w:r>
              <w:t xml:space="preserve"> </w:t>
            </w:r>
            <w:r w:rsidR="00AE1687">
              <w:t>is</w:t>
            </w:r>
            <w:r w:rsidR="00E56EAA">
              <w:t xml:space="preserve"> required</w:t>
            </w:r>
            <w:r>
              <w:t xml:space="preserve"> as well as server-based imaging.  The following items must be fully documented by </w:t>
            </w:r>
            <w:r w:rsidR="00AE1687">
              <w:t>practice</w:t>
            </w:r>
            <w:r>
              <w:t xml:space="preserve"> and/or the MSP as mandated by CMS:</w:t>
            </w:r>
          </w:p>
          <w:p w14:paraId="7E1A1AD6" w14:textId="77777777" w:rsidR="00F638D5" w:rsidRDefault="00F638D5" w:rsidP="00F638D5">
            <w:pPr>
              <w:pStyle w:val="ListParagraph"/>
              <w:numPr>
                <w:ilvl w:val="1"/>
                <w:numId w:val="8"/>
              </w:numPr>
            </w:pPr>
            <w:r>
              <w:t>Data Backup Plan</w:t>
            </w:r>
          </w:p>
          <w:p w14:paraId="4A848465" w14:textId="77777777" w:rsidR="00F638D5" w:rsidRDefault="00F638D5" w:rsidP="00F638D5">
            <w:pPr>
              <w:pStyle w:val="ListParagraph"/>
              <w:numPr>
                <w:ilvl w:val="1"/>
                <w:numId w:val="8"/>
              </w:numPr>
            </w:pPr>
            <w:r>
              <w:t xml:space="preserve">Disaster Recovery Plan </w:t>
            </w:r>
          </w:p>
          <w:p w14:paraId="58D7EBE2" w14:textId="77777777" w:rsidR="00F638D5" w:rsidRDefault="00F638D5" w:rsidP="00B75929">
            <w:pPr>
              <w:pStyle w:val="ListParagraph"/>
              <w:numPr>
                <w:ilvl w:val="1"/>
                <w:numId w:val="8"/>
              </w:numPr>
            </w:pPr>
            <w:r>
              <w:t>Emergency Mode</w:t>
            </w:r>
            <w:r w:rsidR="0072792E">
              <w:t xml:space="preserve"> </w:t>
            </w:r>
            <w:r>
              <w:t>Operation Plan</w:t>
            </w:r>
          </w:p>
          <w:p w14:paraId="6E812B18" w14:textId="77777777" w:rsidR="005E1211" w:rsidRDefault="005E1211" w:rsidP="00B75929"/>
        </w:tc>
      </w:tr>
      <w:tr w:rsidR="009B292E" w14:paraId="04751CCD" w14:textId="77777777" w:rsidTr="004D1F83">
        <w:tc>
          <w:tcPr>
            <w:tcW w:w="10656" w:type="dxa"/>
            <w:shd w:val="clear" w:color="auto" w:fill="F2F2F2" w:themeFill="background1" w:themeFillShade="F2"/>
          </w:tcPr>
          <w:p w14:paraId="19EBC1C3" w14:textId="1C89D8D6" w:rsidR="009B292E" w:rsidRDefault="00B67353" w:rsidP="00F32923">
            <w:pPr>
              <w:pStyle w:val="Heading2"/>
            </w:pPr>
            <w:bookmarkStart w:id="3" w:name="_Toc227163118"/>
            <w:r>
              <w:t>SQL Server</w:t>
            </w:r>
            <w:bookmarkEnd w:id="3"/>
            <w:r w:rsidR="009B292E">
              <w:t xml:space="preserve"> </w:t>
            </w:r>
          </w:p>
        </w:tc>
      </w:tr>
      <w:tr w:rsidR="009B292E" w14:paraId="365D136A" w14:textId="77777777" w:rsidTr="004D1F83">
        <w:tc>
          <w:tcPr>
            <w:tcW w:w="10656" w:type="dxa"/>
          </w:tcPr>
          <w:p w14:paraId="1BDE987A" w14:textId="35A694B7" w:rsidR="00E65A03" w:rsidRPr="0098507C" w:rsidRDefault="00E65A03" w:rsidP="009B292E">
            <w:r w:rsidRPr="0098507C">
              <w:t>Every practice</w:t>
            </w:r>
            <w:r w:rsidR="004A3313" w:rsidRPr="0098507C">
              <w:t>,</w:t>
            </w:r>
            <w:r w:rsidRPr="0098507C">
              <w:t xml:space="preserve"> </w:t>
            </w:r>
            <w:r w:rsidR="00F52196" w:rsidRPr="0098507C">
              <w:t xml:space="preserve">with an </w:t>
            </w:r>
            <w:r w:rsidR="004854D1" w:rsidRPr="0098507C">
              <w:t>on-premises</w:t>
            </w:r>
            <w:r w:rsidR="00F52196" w:rsidRPr="0098507C">
              <w:t xml:space="preserve"> installation</w:t>
            </w:r>
            <w:r w:rsidR="004A3313" w:rsidRPr="0098507C">
              <w:t>,</w:t>
            </w:r>
            <w:r w:rsidR="00F52196" w:rsidRPr="0098507C">
              <w:t xml:space="preserve"> </w:t>
            </w:r>
            <w:r w:rsidRPr="0098507C">
              <w:t xml:space="preserve">will require a dedicated </w:t>
            </w:r>
            <w:r w:rsidR="00B67353">
              <w:t>SQL Server</w:t>
            </w:r>
            <w:r w:rsidRPr="0098507C">
              <w:t xml:space="preserve">.  </w:t>
            </w:r>
            <w:r w:rsidR="009B292E" w:rsidRPr="0098507C">
              <w:t xml:space="preserve">The </w:t>
            </w:r>
            <w:r w:rsidR="00B67353">
              <w:t>SQL Server</w:t>
            </w:r>
            <w:r w:rsidR="009B292E" w:rsidRPr="0098507C">
              <w:t xml:space="preserve"> is the central repository where all dat</w:t>
            </w:r>
            <w:r w:rsidRPr="0098507C">
              <w:t xml:space="preserve">a will be stored and accessed.  Required Windows services for full use of </w:t>
            </w:r>
            <w:r w:rsidR="00B832D9">
              <w:t>QSuite</w:t>
            </w:r>
            <w:r w:rsidRPr="0098507C">
              <w:t xml:space="preserve"> software will also run on the </w:t>
            </w:r>
            <w:r w:rsidR="00B67353">
              <w:t>SQL Server</w:t>
            </w:r>
            <w:r w:rsidRPr="0098507C">
              <w:t>.</w:t>
            </w:r>
          </w:p>
          <w:p w14:paraId="458C360B" w14:textId="77777777" w:rsidR="009B292E" w:rsidRDefault="009B292E" w:rsidP="00F32923">
            <w:pPr>
              <w:pStyle w:val="Heading3"/>
            </w:pPr>
            <w:bookmarkStart w:id="4" w:name="_Toc227163119"/>
            <w:r>
              <w:t>Base requirements:</w:t>
            </w:r>
            <w:bookmarkEnd w:id="4"/>
          </w:p>
          <w:p w14:paraId="2F0226E7" w14:textId="3F7FA242" w:rsidR="00BB4B90" w:rsidRDefault="007F3FF4" w:rsidP="00BB4B90">
            <w:pPr>
              <w:pStyle w:val="ListParagraph"/>
              <w:numPr>
                <w:ilvl w:val="0"/>
                <w:numId w:val="1"/>
              </w:numPr>
            </w:pPr>
            <w:r>
              <w:t>Windows Server 201</w:t>
            </w:r>
            <w:r w:rsidR="004E39F5">
              <w:t>9</w:t>
            </w:r>
            <w:r>
              <w:t xml:space="preserve"> </w:t>
            </w:r>
            <w:r w:rsidR="00AC3497">
              <w:t>(</w:t>
            </w:r>
            <w:r w:rsidR="008257C8">
              <w:t xml:space="preserve">must have </w:t>
            </w:r>
            <w:r w:rsidR="00B832D9">
              <w:t>QSuite</w:t>
            </w:r>
            <w:r>
              <w:t xml:space="preserve"> version </w:t>
            </w:r>
            <w:r w:rsidR="00B75BB5">
              <w:t>26</w:t>
            </w:r>
            <w:r w:rsidR="00E64269">
              <w:t>.x</w:t>
            </w:r>
            <w:r>
              <w:t xml:space="preserve"> and above)</w:t>
            </w:r>
          </w:p>
          <w:p w14:paraId="009B3CC5" w14:textId="152E1E7E" w:rsidR="00BB4B90" w:rsidRDefault="00BB4B90" w:rsidP="00BB4B90">
            <w:pPr>
              <w:pStyle w:val="ListParagraph"/>
              <w:numPr>
                <w:ilvl w:val="0"/>
                <w:numId w:val="1"/>
              </w:numPr>
            </w:pPr>
            <w:r>
              <w:lastRenderedPageBreak/>
              <w:t xml:space="preserve">Standard or Enterprise SQL Server </w:t>
            </w:r>
            <w:r w:rsidR="001B01A6">
              <w:t xml:space="preserve">2019 </w:t>
            </w:r>
            <w:r>
              <w:t xml:space="preserve">/ SQL Server </w:t>
            </w:r>
            <w:r w:rsidR="001B01A6">
              <w:t>2022</w:t>
            </w:r>
          </w:p>
          <w:p w14:paraId="5E7704AA" w14:textId="3D2195C3" w:rsidR="00C032B8" w:rsidRDefault="00C032B8">
            <w:pPr>
              <w:pStyle w:val="ListParagraph"/>
              <w:numPr>
                <w:ilvl w:val="1"/>
                <w:numId w:val="1"/>
              </w:numPr>
            </w:pPr>
            <w:r>
              <w:t>SQL must be installed with mixed mode authentication (SQL + Windows)</w:t>
            </w:r>
          </w:p>
          <w:p w14:paraId="16FAE952" w14:textId="77777777" w:rsidR="00C032B8" w:rsidRDefault="00C032B8" w:rsidP="007350C5">
            <w:pPr>
              <w:pStyle w:val="ListParagraph"/>
              <w:numPr>
                <w:ilvl w:val="1"/>
                <w:numId w:val="1"/>
              </w:numPr>
            </w:pPr>
            <w:r>
              <w:t>Default SQL instance name (MSSQLSERVER) must be used</w:t>
            </w:r>
          </w:p>
          <w:p w14:paraId="32D59B86" w14:textId="77777777" w:rsidR="004C1754" w:rsidRDefault="004C1754" w:rsidP="007350C5">
            <w:pPr>
              <w:pStyle w:val="ListParagraph"/>
              <w:numPr>
                <w:ilvl w:val="1"/>
                <w:numId w:val="1"/>
              </w:numPr>
            </w:pPr>
            <w:r>
              <w:t>Database Engine Services</w:t>
            </w:r>
          </w:p>
          <w:p w14:paraId="47BC2804" w14:textId="77777777" w:rsidR="004C1754" w:rsidRDefault="004C1754" w:rsidP="007350C5">
            <w:pPr>
              <w:pStyle w:val="ListParagraph"/>
              <w:numPr>
                <w:ilvl w:val="1"/>
                <w:numId w:val="1"/>
              </w:numPr>
            </w:pPr>
            <w:r>
              <w:t>Full-Text and Semantic Extractions for Search</w:t>
            </w:r>
          </w:p>
          <w:p w14:paraId="1857EE1C" w14:textId="77777777" w:rsidR="004C1754" w:rsidRDefault="004C1754" w:rsidP="007350C5">
            <w:pPr>
              <w:pStyle w:val="ListParagraph"/>
              <w:numPr>
                <w:ilvl w:val="1"/>
                <w:numId w:val="1"/>
              </w:numPr>
            </w:pPr>
            <w:r>
              <w:t>Reporting Services – Native, SSRS</w:t>
            </w:r>
          </w:p>
          <w:p w14:paraId="005654AF" w14:textId="77777777" w:rsidR="004C1754" w:rsidRDefault="004C1754" w:rsidP="007350C5">
            <w:pPr>
              <w:pStyle w:val="ListParagraph"/>
              <w:numPr>
                <w:ilvl w:val="1"/>
                <w:numId w:val="1"/>
              </w:numPr>
            </w:pPr>
            <w:r>
              <w:t xml:space="preserve">Management Tools </w:t>
            </w:r>
            <w:r w:rsidR="00E21157">
              <w:t>–</w:t>
            </w:r>
            <w:r>
              <w:t xml:space="preserve"> Complete</w:t>
            </w:r>
          </w:p>
          <w:p w14:paraId="0AFB6D02" w14:textId="77777777" w:rsidR="00E21157" w:rsidRDefault="00E21157" w:rsidP="007350C5">
            <w:pPr>
              <w:pStyle w:val="ListParagraph"/>
              <w:numPr>
                <w:ilvl w:val="1"/>
                <w:numId w:val="1"/>
              </w:numPr>
            </w:pPr>
            <w:r>
              <w:t>File Stream must be Enabled</w:t>
            </w:r>
          </w:p>
          <w:p w14:paraId="6A919861" w14:textId="2554946D" w:rsidR="009B292E" w:rsidRDefault="00781DE4" w:rsidP="007350C5">
            <w:pPr>
              <w:pStyle w:val="ListParagraph"/>
              <w:numPr>
                <w:ilvl w:val="0"/>
                <w:numId w:val="1"/>
              </w:numPr>
            </w:pPr>
            <w:r>
              <w:t>SSD (NVMe preferred) or 10K RPM SAS drives for SQL arrays</w:t>
            </w:r>
          </w:p>
          <w:p w14:paraId="6E8FA15C" w14:textId="77777777" w:rsidR="00F52196" w:rsidRDefault="00F52196" w:rsidP="007350C5">
            <w:pPr>
              <w:pStyle w:val="ListParagraph"/>
              <w:numPr>
                <w:ilvl w:val="0"/>
                <w:numId w:val="1"/>
              </w:numPr>
            </w:pPr>
            <w:r>
              <w:t>Gigabit Network</w:t>
            </w:r>
          </w:p>
          <w:p w14:paraId="172E3911" w14:textId="77777777" w:rsidR="00F52196" w:rsidRDefault="00F52196" w:rsidP="007350C5">
            <w:pPr>
              <w:pStyle w:val="ListParagraph"/>
              <w:numPr>
                <w:ilvl w:val="0"/>
                <w:numId w:val="1"/>
              </w:numPr>
            </w:pPr>
            <w:r w:rsidRPr="00F52196">
              <w:t xml:space="preserve">Server must be dedicated strictly to hosting </w:t>
            </w:r>
            <w:r w:rsidR="00BB4B90">
              <w:t>TRIARQ</w:t>
            </w:r>
            <w:r w:rsidRPr="00F52196">
              <w:t xml:space="preserve"> server software and components; additional roles or applications must be hosted on a separate server.</w:t>
            </w:r>
          </w:p>
          <w:p w14:paraId="634FF15A" w14:textId="77777777" w:rsidR="00A86119" w:rsidRDefault="00A86119" w:rsidP="007350C5">
            <w:pPr>
              <w:pStyle w:val="ListParagraph"/>
              <w:numPr>
                <w:ilvl w:val="0"/>
                <w:numId w:val="1"/>
              </w:numPr>
            </w:pPr>
            <w:r>
              <w:t xml:space="preserve">UAC </w:t>
            </w:r>
            <w:r w:rsidR="007350C5">
              <w:t xml:space="preserve">must be </w:t>
            </w:r>
            <w:r>
              <w:t>completely disabled</w:t>
            </w:r>
          </w:p>
          <w:p w14:paraId="0CEB0209" w14:textId="38CEEC78" w:rsidR="00434C1C" w:rsidRPr="00434C1C" w:rsidRDefault="00434C1C" w:rsidP="00434C1C">
            <w:pPr>
              <w:rPr>
                <w:b/>
              </w:rPr>
            </w:pPr>
            <w:r w:rsidRPr="00434C1C">
              <w:rPr>
                <w:b/>
              </w:rPr>
              <w:t xml:space="preserve">NOTE: </w:t>
            </w:r>
            <w:r w:rsidR="000306A8">
              <w:rPr>
                <w:b/>
              </w:rPr>
              <w:t>BUSINESS SERVER IS NOT SUPPORTED</w:t>
            </w:r>
          </w:p>
          <w:p w14:paraId="2EB9BBCF" w14:textId="77777777" w:rsidR="000D6D2A" w:rsidRDefault="000D6D2A" w:rsidP="00B75929">
            <w:pPr>
              <w:pStyle w:val="Heading3"/>
            </w:pPr>
            <w:bookmarkStart w:id="5" w:name="_Toc227163120"/>
            <w:r>
              <w:t>Extended Requirements:</w:t>
            </w:r>
            <w:bookmarkEnd w:id="5"/>
          </w:p>
          <w:p w14:paraId="2666B1F1" w14:textId="77777777" w:rsidR="009B292E" w:rsidRDefault="009B292E" w:rsidP="00456A71">
            <w:pPr>
              <w:pStyle w:val="Heading4"/>
            </w:pPr>
            <w:r>
              <w:t>1 – 10 Users</w:t>
            </w:r>
          </w:p>
          <w:p w14:paraId="4CC537CD" w14:textId="2A3F5712" w:rsidR="009B292E" w:rsidRDefault="009B292E" w:rsidP="009B292E">
            <w:r>
              <w:t>2 DEDICATED CPU</w:t>
            </w:r>
            <w:r w:rsidR="008257C8">
              <w:t xml:space="preserve"> CORES (XEON 2GHZ. OR </w:t>
            </w:r>
            <w:r w:rsidR="00707284">
              <w:t>GREATER) 16</w:t>
            </w:r>
            <w:r>
              <w:t>GB RAM</w:t>
            </w:r>
            <w:r>
              <w:br/>
              <w:t>RAID 1 OS ARRAY (2 drives), RAID 1 DEDICATED SQL ARRAY (2 drives)</w:t>
            </w:r>
          </w:p>
          <w:p w14:paraId="44FA97BA" w14:textId="77777777" w:rsidR="009B292E" w:rsidRDefault="009B292E" w:rsidP="00456A71">
            <w:pPr>
              <w:pStyle w:val="Heading4"/>
            </w:pPr>
            <w:r>
              <w:t>11 – 20 Users</w:t>
            </w:r>
          </w:p>
          <w:p w14:paraId="5C9B95C2" w14:textId="02588E18" w:rsidR="009B292E" w:rsidRDefault="009B292E" w:rsidP="009B292E">
            <w:r>
              <w:t xml:space="preserve">2 DEDICATED CPU CORES </w:t>
            </w:r>
            <w:r w:rsidR="008257C8">
              <w:t xml:space="preserve">(XEON 2GHZ. OR </w:t>
            </w:r>
            <w:r w:rsidR="00707284">
              <w:t>GREATER) 16</w:t>
            </w:r>
            <w:r>
              <w:t>GB RAM</w:t>
            </w:r>
            <w:r>
              <w:br/>
              <w:t>RAID 1 OS ARRAY (2 drives), RAID 5 DEDICATED SQL ARRAY (3 drives)</w:t>
            </w:r>
          </w:p>
          <w:p w14:paraId="57CD0F7D" w14:textId="77777777" w:rsidR="009B292E" w:rsidRDefault="009B292E" w:rsidP="00456A71">
            <w:pPr>
              <w:pStyle w:val="Heading4"/>
            </w:pPr>
            <w:r>
              <w:t>21 – 30 Users</w:t>
            </w:r>
          </w:p>
          <w:p w14:paraId="70D80A58" w14:textId="0C54F768" w:rsidR="009B292E" w:rsidRDefault="009B292E" w:rsidP="009B292E">
            <w:r>
              <w:t xml:space="preserve">4 DEDICATED CPU </w:t>
            </w:r>
            <w:r w:rsidR="008257C8">
              <w:t xml:space="preserve">CORES (XEON 2GHZ. OR </w:t>
            </w:r>
            <w:r w:rsidR="00707284">
              <w:t>GREATER) 24</w:t>
            </w:r>
            <w:r>
              <w:t>GB RAM</w:t>
            </w:r>
            <w:r>
              <w:br/>
              <w:t>RAID 1 OS ARRAY (2 drives), RAID 10 SQL ARRAY (4 drives)</w:t>
            </w:r>
          </w:p>
          <w:p w14:paraId="2B11CD4D" w14:textId="77777777" w:rsidR="009B292E" w:rsidRDefault="009B292E" w:rsidP="00456A71">
            <w:pPr>
              <w:pStyle w:val="Heading4"/>
            </w:pPr>
            <w:r>
              <w:t>31 – 50 Users</w:t>
            </w:r>
          </w:p>
          <w:p w14:paraId="64FDDC36" w14:textId="737A8637" w:rsidR="009B292E" w:rsidRDefault="009B292E" w:rsidP="009B292E">
            <w:r>
              <w:t>4 DEDICATED CPU C</w:t>
            </w:r>
            <w:r w:rsidR="008257C8">
              <w:t xml:space="preserve">ORES (XEON 2GHZ. OR </w:t>
            </w:r>
            <w:r w:rsidR="00707284">
              <w:t>GREATER) 32</w:t>
            </w:r>
            <w:r>
              <w:t>GB RAM</w:t>
            </w:r>
            <w:r>
              <w:br/>
              <w:t>RAID 1 OS ARRAY (2 drives), RAID 10 SQL ARRAY (4 drives)</w:t>
            </w:r>
          </w:p>
          <w:p w14:paraId="79F5EA44" w14:textId="77777777" w:rsidR="009B292E" w:rsidRDefault="009B292E" w:rsidP="00456A71">
            <w:pPr>
              <w:pStyle w:val="Heading4"/>
            </w:pPr>
            <w:r>
              <w:t>51 – 80 Users</w:t>
            </w:r>
          </w:p>
          <w:p w14:paraId="6A292D0F" w14:textId="0024D9C7" w:rsidR="009B292E" w:rsidRDefault="009B292E" w:rsidP="009B292E">
            <w:r>
              <w:t xml:space="preserve">4 DEDICATED CPU </w:t>
            </w:r>
            <w:r w:rsidR="008257C8">
              <w:t xml:space="preserve">CORES (XEON 2GHZ. OR </w:t>
            </w:r>
            <w:r w:rsidR="00607DC8">
              <w:t>GREATER) 32</w:t>
            </w:r>
            <w:r>
              <w:t>GB RAM</w:t>
            </w:r>
            <w:r>
              <w:br/>
              <w:t xml:space="preserve">RAID 1 OS ARRAY (2 drives), </w:t>
            </w:r>
            <w:r w:rsidR="00C032B8">
              <w:t xml:space="preserve">RAID 1 SQL TRANSACT LOG ARRAY, </w:t>
            </w:r>
            <w:r>
              <w:t xml:space="preserve">RAID 10 SQL </w:t>
            </w:r>
            <w:r w:rsidR="00C032B8">
              <w:t xml:space="preserve">DATA </w:t>
            </w:r>
            <w:r>
              <w:t>ARRAY (6 drives)</w:t>
            </w:r>
          </w:p>
          <w:p w14:paraId="48B28A1D" w14:textId="77777777" w:rsidR="00F52196" w:rsidRDefault="00F52196" w:rsidP="009B292E"/>
          <w:p w14:paraId="0469696F" w14:textId="77777777" w:rsidR="00E4798C" w:rsidRDefault="00E4798C" w:rsidP="00A80EE5">
            <w:r>
              <w:t xml:space="preserve">If more than 80 concurrent users will be accessing the database, please contact the </w:t>
            </w:r>
            <w:r w:rsidR="00BB4B90">
              <w:t>TRIARQ</w:t>
            </w:r>
            <w:r w:rsidR="00674347">
              <w:t xml:space="preserve"> </w:t>
            </w:r>
            <w:r>
              <w:t>Support team to determine recommended infrastructure.</w:t>
            </w:r>
          </w:p>
          <w:p w14:paraId="5AFE7434" w14:textId="77777777" w:rsidR="004C1754" w:rsidRDefault="004C1754" w:rsidP="00A80EE5"/>
          <w:p w14:paraId="6EBCE786" w14:textId="77777777" w:rsidR="004C1754" w:rsidRDefault="004C1754" w:rsidP="00A80EE5"/>
          <w:p w14:paraId="600AEA73" w14:textId="77777777" w:rsidR="004C1754" w:rsidRDefault="004C1754" w:rsidP="00A80EE5"/>
          <w:p w14:paraId="1DD137D7" w14:textId="77777777" w:rsidR="00F52196" w:rsidRDefault="00F52196" w:rsidP="00B75929">
            <w:pPr>
              <w:pStyle w:val="Heading3"/>
            </w:pPr>
            <w:bookmarkStart w:id="6" w:name="_Toc227163121"/>
            <w:r>
              <w:lastRenderedPageBreak/>
              <w:t>Disk Space Requirements:</w:t>
            </w:r>
            <w:bookmarkEnd w:id="6"/>
          </w:p>
          <w:p w14:paraId="7E57E275" w14:textId="6DC05A5A" w:rsidR="00C032B8" w:rsidRDefault="00A000E6" w:rsidP="00F52196">
            <w:r>
              <w:t>An SQL</w:t>
            </w:r>
            <w:r w:rsidR="00B67353">
              <w:t xml:space="preserve"> Server</w:t>
            </w:r>
            <w:r w:rsidR="00C032B8">
              <w:t xml:space="preserve"> which meets </w:t>
            </w:r>
            <w:r w:rsidR="00BB4B90">
              <w:t>TRIARQ</w:t>
            </w:r>
            <w:r w:rsidR="00C032B8">
              <w:t>’s minimum hardware and software requirements will have a dedicated disk array for the operating system volume</w:t>
            </w:r>
            <w:r w:rsidR="00BC3FE8">
              <w:t xml:space="preserve"> </w:t>
            </w:r>
            <w:r w:rsidR="00C032B8">
              <w:t>(</w:t>
            </w:r>
            <w:r w:rsidR="00B32833">
              <w:t>C</w:t>
            </w:r>
            <w:r w:rsidR="00C032B8">
              <w:t>:\).  A minimum of 80GB must be allocated to the system / operating system volume to ensure adequate headroom for system growth.</w:t>
            </w:r>
          </w:p>
          <w:p w14:paraId="0C979AEB" w14:textId="77777777" w:rsidR="00C032B8" w:rsidRDefault="00C032B8" w:rsidP="00F52196"/>
          <w:p w14:paraId="2F1ED8F4" w14:textId="77777777" w:rsidR="00F52196" w:rsidRDefault="00F52196" w:rsidP="00F52196">
            <w:r>
              <w:t>The</w:t>
            </w:r>
            <w:r w:rsidR="00B32833">
              <w:t xml:space="preserve"> amount of space required for SQL data will vary greatly depending upon the following </w:t>
            </w:r>
            <w:r>
              <w:t>variables:</w:t>
            </w:r>
            <w:r w:rsidR="00B32833">
              <w:br/>
            </w:r>
          </w:p>
          <w:p w14:paraId="4D75C93A" w14:textId="77777777" w:rsidR="00F52196" w:rsidRDefault="00F52196" w:rsidP="007350C5">
            <w:pPr>
              <w:pStyle w:val="ListParagraph"/>
              <w:numPr>
                <w:ilvl w:val="0"/>
                <w:numId w:val="1"/>
              </w:numPr>
            </w:pPr>
            <w:r>
              <w:t xml:space="preserve">Number of patient charts </w:t>
            </w:r>
          </w:p>
          <w:p w14:paraId="3AB5A5F0" w14:textId="77777777" w:rsidR="009F537C" w:rsidRDefault="009F537C" w:rsidP="007350C5">
            <w:pPr>
              <w:pStyle w:val="ListParagraph"/>
              <w:numPr>
                <w:ilvl w:val="0"/>
                <w:numId w:val="1"/>
              </w:numPr>
            </w:pPr>
            <w:r>
              <w:t>Average page count / chart</w:t>
            </w:r>
            <w:r w:rsidR="0098507C">
              <w:t xml:space="preserve"> which will be scanned</w:t>
            </w:r>
          </w:p>
          <w:p w14:paraId="65ABC94B" w14:textId="77777777" w:rsidR="009F537C" w:rsidRDefault="009F537C" w:rsidP="007350C5">
            <w:pPr>
              <w:pStyle w:val="ListParagraph"/>
              <w:numPr>
                <w:ilvl w:val="0"/>
                <w:numId w:val="1"/>
              </w:numPr>
            </w:pPr>
            <w:r>
              <w:t>Scanning resolution</w:t>
            </w:r>
          </w:p>
          <w:p w14:paraId="0A562BAC" w14:textId="77777777" w:rsidR="00154A5A" w:rsidRDefault="00154A5A" w:rsidP="007350C5">
            <w:pPr>
              <w:pStyle w:val="ListParagraph"/>
              <w:numPr>
                <w:ilvl w:val="0"/>
                <w:numId w:val="1"/>
              </w:numPr>
            </w:pPr>
            <w:r>
              <w:t>Number of encounters</w:t>
            </w:r>
          </w:p>
          <w:p w14:paraId="26D62EC4" w14:textId="77777777" w:rsidR="00C032B8" w:rsidRDefault="00C032B8" w:rsidP="00C032B8"/>
          <w:p w14:paraId="01CCE169" w14:textId="530DF300" w:rsidR="009B292E" w:rsidRDefault="00BB4B90" w:rsidP="006121AE">
            <w:r>
              <w:t>TRIARQ</w:t>
            </w:r>
            <w:r w:rsidR="00A3765D">
              <w:t xml:space="preserve"> recommends that all scanning occur at 200 DPI, and that black and white be </w:t>
            </w:r>
            <w:r w:rsidR="00FF5700">
              <w:t>used,</w:t>
            </w:r>
            <w:r w:rsidR="00A3765D">
              <w:t xml:space="preserve"> when </w:t>
            </w:r>
            <w:r w:rsidR="003E6F3A">
              <w:t>possible,</w:t>
            </w:r>
            <w:r w:rsidR="00A3765D">
              <w:t xml:space="preserve"> to help </w:t>
            </w:r>
            <w:r w:rsidR="000D6D2A">
              <w:t>keep database size down</w:t>
            </w:r>
            <w:r w:rsidR="00A3765D">
              <w:t xml:space="preserve">.  </w:t>
            </w:r>
          </w:p>
          <w:p w14:paraId="2BF02235" w14:textId="77777777" w:rsidR="00E15B83" w:rsidRDefault="00E15B83" w:rsidP="006121AE"/>
        </w:tc>
      </w:tr>
      <w:tr w:rsidR="00B32833" w14:paraId="202FA481" w14:textId="77777777" w:rsidTr="004D1F83">
        <w:tc>
          <w:tcPr>
            <w:tcW w:w="10656" w:type="dxa"/>
          </w:tcPr>
          <w:p w14:paraId="726EC521" w14:textId="77777777" w:rsidR="009E7442" w:rsidRDefault="009E7442" w:rsidP="00F32923">
            <w:pPr>
              <w:pStyle w:val="Heading3"/>
            </w:pPr>
            <w:bookmarkStart w:id="7" w:name="_Ref326933264"/>
            <w:bookmarkStart w:id="8" w:name="_Toc227163122"/>
            <w:r>
              <w:lastRenderedPageBreak/>
              <w:t xml:space="preserve">Peripheral </w:t>
            </w:r>
            <w:r w:rsidR="00CE11D5">
              <w:t>Support</w:t>
            </w:r>
            <w:r>
              <w:t>:</w:t>
            </w:r>
            <w:bookmarkEnd w:id="7"/>
            <w:bookmarkEnd w:id="8"/>
          </w:p>
          <w:p w14:paraId="1E8D722F" w14:textId="134A82FC" w:rsidR="009E7442" w:rsidRDefault="009E7442" w:rsidP="009E7442">
            <w:r>
              <w:t xml:space="preserve">The number of certified peripherals for use with </w:t>
            </w:r>
            <w:r w:rsidR="00901444">
              <w:t>QSuite</w:t>
            </w:r>
            <w:r w:rsidR="00A20A67">
              <w:t xml:space="preserve"> </w:t>
            </w:r>
            <w:r>
              <w:t xml:space="preserve">continues to grow.  Here </w:t>
            </w:r>
            <w:r w:rsidR="00A20A67">
              <w:t>are the current statuses of peripheral support</w:t>
            </w:r>
            <w:r>
              <w:t>:</w:t>
            </w:r>
          </w:p>
          <w:p w14:paraId="33623DD5" w14:textId="77777777" w:rsidR="009E7442" w:rsidRDefault="009E7442" w:rsidP="009E7442"/>
          <w:tbl>
            <w:tblPr>
              <w:tblStyle w:val="TableGrid"/>
              <w:tblW w:w="10080" w:type="dxa"/>
              <w:jc w:val="center"/>
              <w:tblLook w:val="04A0" w:firstRow="1" w:lastRow="0" w:firstColumn="1" w:lastColumn="0" w:noHBand="0" w:noVBand="1"/>
            </w:tblPr>
            <w:tblGrid>
              <w:gridCol w:w="5039"/>
              <w:gridCol w:w="5041"/>
            </w:tblGrid>
            <w:tr w:rsidR="009E7442" w14:paraId="7C57119A" w14:textId="77777777" w:rsidTr="00A33592">
              <w:trPr>
                <w:jc w:val="center"/>
              </w:trPr>
              <w:tc>
                <w:tcPr>
                  <w:tcW w:w="5039" w:type="dxa"/>
                </w:tcPr>
                <w:p w14:paraId="5AEAD62A" w14:textId="7B06E7FA" w:rsidR="009E7442" w:rsidRDefault="009E7442" w:rsidP="00A94E55">
                  <w:r>
                    <w:t xml:space="preserve">Scanners: </w:t>
                  </w:r>
                  <w:r w:rsidRPr="009C0C96">
                    <w:t>Kodak i2000, Kodak i2800, Fujitsu 6130,</w:t>
                  </w:r>
                  <w:r w:rsidR="008C1DB8">
                    <w:t xml:space="preserve"> </w:t>
                  </w:r>
                  <w:r w:rsidRPr="009C0C96">
                    <w:t>Fujitsu 6140</w:t>
                  </w:r>
                  <w:r w:rsidR="008C1DB8">
                    <w:t xml:space="preserve">, Fujitsu </w:t>
                  </w:r>
                  <w:r w:rsidR="00F67745">
                    <w:t xml:space="preserve">7160, </w:t>
                  </w:r>
                  <w:r w:rsidR="00F67745" w:rsidRPr="002F194A">
                    <w:t>Brother</w:t>
                  </w:r>
                  <w:r w:rsidR="00A94E55" w:rsidRPr="002F194A">
                    <w:t xml:space="preserve"> ADS-3000N</w:t>
                  </w:r>
                </w:p>
              </w:tc>
              <w:tc>
                <w:tcPr>
                  <w:tcW w:w="5041" w:type="dxa"/>
                </w:tcPr>
                <w:p w14:paraId="7E26F587" w14:textId="52FE59EE" w:rsidR="009E7442" w:rsidRDefault="009E7442" w:rsidP="00B75929">
                  <w:r w:rsidRPr="00BF4920">
                    <w:rPr>
                      <w:b/>
                    </w:rPr>
                    <w:t>Notes:</w:t>
                  </w:r>
                  <w:r>
                    <w:t xml:space="preserve"> Remote Scan must be purchased for each scanner used at the practice.  Recommended 200 DPI scanning w/ lossy compression setting set to 50% in Remote Scan</w:t>
                  </w:r>
                  <w:r w:rsidR="000D6D2A">
                    <w:t>.  Port 6077 and 6078 firewall exceptions created if Remote Scan will be used</w:t>
                  </w:r>
                  <w:r w:rsidR="00106747">
                    <w:t>.</w:t>
                  </w:r>
                </w:p>
                <w:p w14:paraId="37A627F1" w14:textId="77777777" w:rsidR="00106747" w:rsidRDefault="00106747" w:rsidP="00106747">
                  <w:pPr>
                    <w:spacing w:line="216" w:lineRule="auto"/>
                  </w:pPr>
                  <w:r w:rsidRPr="002F194A">
                    <w:t>The Fujitsu 6130 and 6140 models are no longer manufactured but will still work with QSuite</w:t>
                  </w:r>
                  <w:r>
                    <w:t xml:space="preserve"> </w:t>
                  </w:r>
                </w:p>
              </w:tc>
            </w:tr>
            <w:tr w:rsidR="009E7442" w14:paraId="7C6A99DF" w14:textId="77777777" w:rsidTr="00A33592">
              <w:trPr>
                <w:jc w:val="center"/>
              </w:trPr>
              <w:tc>
                <w:tcPr>
                  <w:tcW w:w="5039" w:type="dxa"/>
                </w:tcPr>
                <w:p w14:paraId="334B44F8" w14:textId="3011BFAB" w:rsidR="009E7442" w:rsidRDefault="009E7442">
                  <w:r>
                    <w:t>Card Scanners</w:t>
                  </w:r>
                  <w:r w:rsidR="00905144">
                    <w:t>: Scan Shell</w:t>
                  </w:r>
                  <w:r>
                    <w:t xml:space="preserve"> 3100D</w:t>
                  </w:r>
                  <w:r w:rsidR="008C1DB8">
                    <w:t xml:space="preserve"> / DN</w:t>
                  </w:r>
                </w:p>
              </w:tc>
              <w:tc>
                <w:tcPr>
                  <w:tcW w:w="5041" w:type="dxa"/>
                </w:tcPr>
                <w:p w14:paraId="69A1BA07" w14:textId="3BE1FB64" w:rsidR="009E7442" w:rsidRDefault="009E7442">
                  <w:r w:rsidRPr="00BF4920">
                    <w:rPr>
                      <w:b/>
                    </w:rPr>
                    <w:t>Notes</w:t>
                  </w:r>
                  <w:r w:rsidR="009B4A7F" w:rsidRPr="00BF4920">
                    <w:rPr>
                      <w:b/>
                    </w:rPr>
                    <w:t>:</w:t>
                  </w:r>
                  <w:r w:rsidR="009B4A7F">
                    <w:t xml:space="preserve"> Base</w:t>
                  </w:r>
                  <w:r>
                    <w:t xml:space="preserve"> image scans, no OCR or duplex capabilities</w:t>
                  </w:r>
                  <w:r w:rsidR="0098507C">
                    <w:t xml:space="preserve"> to extract discrete data from patient cards</w:t>
                  </w:r>
                </w:p>
              </w:tc>
            </w:tr>
            <w:tr w:rsidR="009E7442" w14:paraId="05571006" w14:textId="77777777" w:rsidTr="00A33592">
              <w:trPr>
                <w:jc w:val="center"/>
              </w:trPr>
              <w:tc>
                <w:tcPr>
                  <w:tcW w:w="5039" w:type="dxa"/>
                </w:tcPr>
                <w:p w14:paraId="209DFF78" w14:textId="6EB37336" w:rsidR="009E7442" w:rsidRDefault="009E7442">
                  <w:r>
                    <w:t>Signature Pads</w:t>
                  </w:r>
                  <w:r w:rsidR="009B4A7F">
                    <w:t>: Topaz</w:t>
                  </w:r>
                  <w:r>
                    <w:t xml:space="preserve"> </w:t>
                  </w:r>
                  <w:r w:rsidRPr="009C0C96">
                    <w:t>USB T-LBK462-HSB-R</w:t>
                  </w:r>
                  <w:r w:rsidR="008C1DB8">
                    <w:t xml:space="preserve"> / BSB-R</w:t>
                  </w:r>
                </w:p>
              </w:tc>
              <w:tc>
                <w:tcPr>
                  <w:tcW w:w="5041" w:type="dxa"/>
                </w:tcPr>
                <w:p w14:paraId="685E5105" w14:textId="1E9D1F4F" w:rsidR="009E7442" w:rsidRDefault="009E7442" w:rsidP="00434C1C">
                  <w:r w:rsidRPr="00BF4920">
                    <w:rPr>
                      <w:b/>
                    </w:rPr>
                    <w:t>Notes</w:t>
                  </w:r>
                  <w:r w:rsidR="009B4A7F" w:rsidRPr="00BF4920">
                    <w:rPr>
                      <w:b/>
                    </w:rPr>
                    <w:t>:</w:t>
                  </w:r>
                  <w:r w:rsidR="009B4A7F">
                    <w:t xml:space="preserve"> Must</w:t>
                  </w:r>
                  <w:r>
                    <w:t xml:space="preserve"> Sigsock Client </w:t>
                  </w:r>
                  <w:r w:rsidR="00A20A67">
                    <w:t xml:space="preserve">(free software) </w:t>
                  </w:r>
                  <w:r>
                    <w:t>installed on machine using signature pad</w:t>
                  </w:r>
                  <w:r w:rsidR="000D6D2A">
                    <w:t>.  Port 47289 and 47290 firewall exceptions created.</w:t>
                  </w:r>
                </w:p>
              </w:tc>
            </w:tr>
            <w:tr w:rsidR="009E7442" w14:paraId="66CEC660" w14:textId="77777777" w:rsidTr="00A33592">
              <w:trPr>
                <w:jc w:val="center"/>
              </w:trPr>
              <w:tc>
                <w:tcPr>
                  <w:tcW w:w="5039" w:type="dxa"/>
                </w:tcPr>
                <w:p w14:paraId="780E7C89" w14:textId="77777777" w:rsidR="009E7442" w:rsidRDefault="009E7442">
                  <w:r>
                    <w:t>Web Cameras</w:t>
                  </w:r>
                </w:p>
              </w:tc>
              <w:tc>
                <w:tcPr>
                  <w:tcW w:w="5041" w:type="dxa"/>
                </w:tcPr>
                <w:p w14:paraId="5ECC831D" w14:textId="49F1B006" w:rsidR="009E7442" w:rsidRDefault="009E7442" w:rsidP="00434C1C">
                  <w:r w:rsidRPr="00BF4920">
                    <w:rPr>
                      <w:b/>
                    </w:rPr>
                    <w:t>Notes</w:t>
                  </w:r>
                  <w:r w:rsidR="009B4A7F" w:rsidRPr="00BF4920">
                    <w:rPr>
                      <w:b/>
                    </w:rPr>
                    <w:t>:</w:t>
                  </w:r>
                  <w:r w:rsidR="009B4A7F">
                    <w:t xml:space="preserve"> Requires</w:t>
                  </w:r>
                  <w:r w:rsidR="00434C1C">
                    <w:t xml:space="preserve"> gloCam software (free software) to be installed on machine using web camera.</w:t>
                  </w:r>
                </w:p>
              </w:tc>
            </w:tr>
            <w:tr w:rsidR="00A33592" w14:paraId="5BBDA25D" w14:textId="77777777" w:rsidTr="00A33592">
              <w:trPr>
                <w:jc w:val="center"/>
              </w:trPr>
              <w:tc>
                <w:tcPr>
                  <w:tcW w:w="5039" w:type="dxa"/>
                </w:tcPr>
                <w:p w14:paraId="259D3EB9" w14:textId="43153DC3" w:rsidR="00A33592" w:rsidRDefault="00A33592">
                  <w:r>
                    <w:t>Microphones</w:t>
                  </w:r>
                  <w:r w:rsidR="009B4A7F">
                    <w:t>: Nuance</w:t>
                  </w:r>
                  <w:r>
                    <w:t xml:space="preserve"> Dictaphone PowerMi</w:t>
                  </w:r>
                  <w:r w:rsidR="004C1754">
                    <w:t>c 2, Nuance Dictaphone PowerMic 3</w:t>
                  </w:r>
                </w:p>
              </w:tc>
              <w:tc>
                <w:tcPr>
                  <w:tcW w:w="5041" w:type="dxa"/>
                </w:tcPr>
                <w:p w14:paraId="1C7BFDA0" w14:textId="6689A9AB" w:rsidR="00A33592" w:rsidRDefault="00A33592" w:rsidP="00A33592">
                  <w:r>
                    <w:rPr>
                      <w:b/>
                    </w:rPr>
                    <w:t>Notes</w:t>
                  </w:r>
                  <w:r w:rsidR="009B4A7F">
                    <w:rPr>
                      <w:b/>
                    </w:rPr>
                    <w:t>:</w:t>
                  </w:r>
                  <w:r w:rsidR="009B4A7F">
                    <w:t xml:space="preserve"> Dragon</w:t>
                  </w:r>
                  <w:r>
                    <w:t xml:space="preserve"> Client for Remote Desktop must be installed on machine for button mappings with Nuance Dictaphone PowerMic II.  Press-to-talk capabilities not supported; simple toggle on / toggle off of microphone only supported.  Dragon Medical 10.1 must be installed on server which is included in the </w:t>
                  </w:r>
                  <w:r w:rsidR="00B832D9">
                    <w:t>QSuite</w:t>
                  </w:r>
                  <w:r>
                    <w:t xml:space="preserve"> installer. </w:t>
                  </w:r>
                  <w:r w:rsidRPr="0098507C">
                    <w:rPr>
                      <w:b/>
                    </w:rPr>
                    <w:t xml:space="preserve">NOTE:  You MUST use the version of Dragon from </w:t>
                  </w:r>
                  <w:r w:rsidR="00BB4B90">
                    <w:rPr>
                      <w:b/>
                    </w:rPr>
                    <w:t>TRIARQ</w:t>
                  </w:r>
                  <w:r w:rsidRPr="0098507C">
                    <w:rPr>
                      <w:b/>
                    </w:rPr>
                    <w:t>’s prerequisites folder; retail boxed copies are NOT supported.</w:t>
                  </w:r>
                  <w:r>
                    <w:rPr>
                      <w:b/>
                    </w:rPr>
                    <w:t xml:space="preserve">  </w:t>
                  </w:r>
                </w:p>
              </w:tc>
            </w:tr>
          </w:tbl>
          <w:p w14:paraId="150AAF51" w14:textId="77777777" w:rsidR="006121AE" w:rsidRDefault="006121AE" w:rsidP="00456A71">
            <w:pPr>
              <w:pStyle w:val="Heading3"/>
            </w:pPr>
          </w:p>
          <w:p w14:paraId="55F46E9F" w14:textId="77777777" w:rsidR="00B32833" w:rsidRDefault="00B32833" w:rsidP="00456A71">
            <w:pPr>
              <w:pStyle w:val="Heading3"/>
            </w:pPr>
            <w:bookmarkStart w:id="9" w:name="_Toc227163123"/>
            <w:r>
              <w:t>Base requirements:</w:t>
            </w:r>
            <w:bookmarkEnd w:id="9"/>
          </w:p>
          <w:p w14:paraId="1D44AC72" w14:textId="3996DB90" w:rsidR="00B32833" w:rsidRDefault="000142AB" w:rsidP="000142AB">
            <w:pPr>
              <w:pStyle w:val="ListParagraph"/>
              <w:numPr>
                <w:ilvl w:val="0"/>
                <w:numId w:val="2"/>
              </w:numPr>
            </w:pPr>
            <w:r>
              <w:t>Windows Server 201</w:t>
            </w:r>
            <w:r w:rsidR="004F64EB">
              <w:t>9</w:t>
            </w:r>
            <w:r>
              <w:t xml:space="preserve"> – Standard or Enterprise</w:t>
            </w:r>
          </w:p>
          <w:p w14:paraId="6E984D5B" w14:textId="02CCDFE6" w:rsidR="00B32833" w:rsidRDefault="001E6A71" w:rsidP="006F4F62">
            <w:pPr>
              <w:pStyle w:val="ListParagraph"/>
              <w:numPr>
                <w:ilvl w:val="0"/>
                <w:numId w:val="2"/>
              </w:numPr>
            </w:pPr>
            <w:r>
              <w:t>SSD (NVMe preferred) or 10K RPM SAS drives</w:t>
            </w:r>
            <w:r w:rsidR="00B32833">
              <w:t xml:space="preserve"> </w:t>
            </w:r>
          </w:p>
          <w:p w14:paraId="63DC81E2" w14:textId="77777777" w:rsidR="00B32833" w:rsidRDefault="00B32833" w:rsidP="006F4F62">
            <w:pPr>
              <w:pStyle w:val="ListParagraph"/>
              <w:numPr>
                <w:ilvl w:val="0"/>
                <w:numId w:val="2"/>
              </w:numPr>
            </w:pPr>
            <w:r>
              <w:t>80GB free hard disk space</w:t>
            </w:r>
          </w:p>
          <w:p w14:paraId="1D6FB59D" w14:textId="323F8885" w:rsidR="00B32833" w:rsidRDefault="00B32833" w:rsidP="006F4F62">
            <w:pPr>
              <w:pStyle w:val="ListParagraph"/>
              <w:numPr>
                <w:ilvl w:val="0"/>
                <w:numId w:val="2"/>
              </w:numPr>
            </w:pPr>
            <w:r>
              <w:t xml:space="preserve">Microsoft </w:t>
            </w:r>
            <w:r w:rsidR="005C78C6" w:rsidRPr="008C1DB8">
              <w:rPr>
                <w:u w:val="single"/>
              </w:rPr>
              <w:t>32</w:t>
            </w:r>
            <w:r w:rsidR="005C78C6">
              <w:rPr>
                <w:u w:val="single"/>
              </w:rPr>
              <w:t>-bit</w:t>
            </w:r>
            <w:r w:rsidR="00474169">
              <w:t xml:space="preserve"> </w:t>
            </w:r>
            <w:r>
              <w:t>Word 2010</w:t>
            </w:r>
            <w:r w:rsidR="00474169">
              <w:t xml:space="preserve"> </w:t>
            </w:r>
            <w:r w:rsidR="00A33592">
              <w:t>Volume licensing</w:t>
            </w:r>
          </w:p>
          <w:p w14:paraId="6196FAD6" w14:textId="76AD6843" w:rsidR="00B32833" w:rsidRDefault="00B32833" w:rsidP="006F4F62">
            <w:pPr>
              <w:pStyle w:val="ListParagraph"/>
              <w:numPr>
                <w:ilvl w:val="0"/>
                <w:numId w:val="2"/>
              </w:numPr>
            </w:pPr>
            <w:r>
              <w:t xml:space="preserve">Microsoft </w:t>
            </w:r>
            <w:r w:rsidR="005C78C6" w:rsidRPr="008C1DB8">
              <w:rPr>
                <w:u w:val="single"/>
              </w:rPr>
              <w:t>32</w:t>
            </w:r>
            <w:r w:rsidR="005C78C6">
              <w:rPr>
                <w:u w:val="single"/>
              </w:rPr>
              <w:t>-bit</w:t>
            </w:r>
            <w:r w:rsidR="00474169">
              <w:t xml:space="preserve"> </w:t>
            </w:r>
            <w:r>
              <w:t>Excel 2010</w:t>
            </w:r>
            <w:r w:rsidR="00474169">
              <w:t xml:space="preserve"> </w:t>
            </w:r>
            <w:r>
              <w:t>Volume licensing recommended for viewing exported reports</w:t>
            </w:r>
          </w:p>
          <w:p w14:paraId="7821C36C" w14:textId="77267BD4" w:rsidR="00B32833" w:rsidRDefault="00B32833" w:rsidP="006F4F62">
            <w:pPr>
              <w:pStyle w:val="ListParagraph"/>
              <w:numPr>
                <w:ilvl w:val="0"/>
                <w:numId w:val="2"/>
              </w:numPr>
            </w:pPr>
            <w:r>
              <w:t xml:space="preserve">.NET Framework </w:t>
            </w:r>
            <w:r w:rsidR="005E5071">
              <w:t>4</w:t>
            </w:r>
            <w:r w:rsidR="007A7168">
              <w:t>.</w:t>
            </w:r>
            <w:r w:rsidR="005E5071">
              <w:t>6</w:t>
            </w:r>
            <w:r w:rsidR="007A7168">
              <w:t>.</w:t>
            </w:r>
            <w:r w:rsidR="005E5071">
              <w:t>2</w:t>
            </w:r>
            <w:r w:rsidR="007A7168">
              <w:t xml:space="preserve"> </w:t>
            </w:r>
            <w:r w:rsidR="00BA0CD2">
              <w:t>or above</w:t>
            </w:r>
            <w:r w:rsidR="007A7168">
              <w:t xml:space="preserve"> Installed</w:t>
            </w:r>
          </w:p>
          <w:p w14:paraId="4A01C753" w14:textId="77777777" w:rsidR="00A86119" w:rsidRDefault="00A86119" w:rsidP="006F4F62">
            <w:pPr>
              <w:pStyle w:val="ListParagraph"/>
              <w:numPr>
                <w:ilvl w:val="0"/>
                <w:numId w:val="2"/>
              </w:numPr>
            </w:pPr>
            <w:r>
              <w:t xml:space="preserve">UAC </w:t>
            </w:r>
            <w:r w:rsidR="00474169">
              <w:t xml:space="preserve">must be </w:t>
            </w:r>
            <w:r>
              <w:t>completely disabled</w:t>
            </w:r>
          </w:p>
          <w:p w14:paraId="4148A720" w14:textId="77777777" w:rsidR="00180475" w:rsidRDefault="00180475" w:rsidP="00180475">
            <w:pPr>
              <w:rPr>
                <w:b/>
              </w:rPr>
            </w:pPr>
            <w:r w:rsidRPr="00180475">
              <w:rPr>
                <w:b/>
              </w:rPr>
              <w:t>NOTE: 64-BIT VERSIONS OF MS OFFICE ARE NOT SUPPORTED.</w:t>
            </w:r>
            <w:r w:rsidR="00434C1C" w:rsidRPr="00180475">
              <w:rPr>
                <w:b/>
              </w:rPr>
              <w:t xml:space="preserve"> </w:t>
            </w:r>
            <w:r w:rsidR="00434C1C">
              <w:rPr>
                <w:b/>
              </w:rPr>
              <w:t xml:space="preserve"> </w:t>
            </w:r>
            <w:r w:rsidRPr="00180475">
              <w:rPr>
                <w:b/>
              </w:rPr>
              <w:t>TRIAL VERSIONS OR CLOUD BASED (Office 365) VERSIONS WILL NOT WORK.</w:t>
            </w:r>
            <w:r w:rsidR="00434C1C">
              <w:rPr>
                <w:b/>
              </w:rPr>
              <w:t xml:space="preserve">  </w:t>
            </w:r>
            <w:r w:rsidR="000306A8">
              <w:rPr>
                <w:b/>
              </w:rPr>
              <w:t>SMALL BUSINESS SERVER IS NOT SUPPORTED.</w:t>
            </w:r>
          </w:p>
          <w:p w14:paraId="40372FC0" w14:textId="221131EE" w:rsidR="00B32833" w:rsidRDefault="00B32833" w:rsidP="0098507C"/>
        </w:tc>
      </w:tr>
      <w:tr w:rsidR="00743A84" w14:paraId="08147CFE" w14:textId="77777777" w:rsidTr="004D1F83">
        <w:tc>
          <w:tcPr>
            <w:tcW w:w="10656" w:type="dxa"/>
            <w:shd w:val="clear" w:color="auto" w:fill="F2F2F2" w:themeFill="background1" w:themeFillShade="F2"/>
          </w:tcPr>
          <w:p w14:paraId="5EC6B4D7" w14:textId="77777777" w:rsidR="00743A84" w:rsidRDefault="00743A84" w:rsidP="00F32923">
            <w:pPr>
              <w:pStyle w:val="Heading2"/>
            </w:pPr>
            <w:bookmarkStart w:id="10" w:name="_Toc227163124"/>
            <w:r>
              <w:lastRenderedPageBreak/>
              <w:t>Thick Client Requirements</w:t>
            </w:r>
            <w:bookmarkEnd w:id="10"/>
          </w:p>
        </w:tc>
      </w:tr>
      <w:tr w:rsidR="00743A84" w14:paraId="2A0E5F94" w14:textId="77777777" w:rsidTr="004D1F83">
        <w:tc>
          <w:tcPr>
            <w:tcW w:w="10656" w:type="dxa"/>
          </w:tcPr>
          <w:p w14:paraId="150BCA6F" w14:textId="533FE028" w:rsidR="00743A84" w:rsidRDefault="00743A84" w:rsidP="00180475">
            <w:r>
              <w:t xml:space="preserve">Thick Client (desktop) computers may be used when </w:t>
            </w:r>
            <w:r w:rsidR="00180475">
              <w:t xml:space="preserve">a physical gigabit connection is available where the </w:t>
            </w:r>
            <w:r w:rsidR="00B67353">
              <w:t>SQL Server</w:t>
            </w:r>
            <w:r w:rsidR="00180475">
              <w:t xml:space="preserve"> is on the same physical LAN.  </w:t>
            </w:r>
          </w:p>
          <w:p w14:paraId="0061B39C" w14:textId="77777777" w:rsidR="00743A84" w:rsidRPr="00180475" w:rsidRDefault="00180475" w:rsidP="00F32923">
            <w:pPr>
              <w:pStyle w:val="Heading3"/>
            </w:pPr>
            <w:bookmarkStart w:id="11" w:name="_Toc227163125"/>
            <w:r>
              <w:t>Base Requirements:</w:t>
            </w:r>
            <w:bookmarkEnd w:id="11"/>
          </w:p>
          <w:p w14:paraId="344DE357" w14:textId="56BEEEF0" w:rsidR="006D3C76" w:rsidRPr="006D3C76" w:rsidRDefault="006D3C76" w:rsidP="006D3C76">
            <w:pPr>
              <w:pStyle w:val="ListParagraph"/>
              <w:numPr>
                <w:ilvl w:val="0"/>
                <w:numId w:val="5"/>
              </w:numPr>
              <w:rPr>
                <w:lang w:val="en-IN"/>
              </w:rPr>
            </w:pPr>
            <w:r w:rsidRPr="006D3C76">
              <w:rPr>
                <w:lang w:val="en-IN"/>
              </w:rPr>
              <w:t xml:space="preserve">Intel Core i5 (8th Gen or newer) / Intel Core i7 (10th Gen or newer), </w:t>
            </w:r>
            <w:r w:rsidRPr="006D3C76">
              <w:rPr>
                <w:b/>
                <w:bCs/>
                <w:lang w:val="en-IN"/>
              </w:rPr>
              <w:t>Quad Core 2.4 GHz or higher</w:t>
            </w:r>
            <w:r w:rsidRPr="006D3C76">
              <w:rPr>
                <w:lang w:val="en-IN"/>
              </w:rPr>
              <w:t xml:space="preserve">, with SSE4.2 support </w:t>
            </w:r>
          </w:p>
          <w:p w14:paraId="2B1754C0" w14:textId="173B3DCF" w:rsidR="006D3C76" w:rsidRPr="006D3C76" w:rsidRDefault="006D3C76" w:rsidP="006D3C76">
            <w:pPr>
              <w:pStyle w:val="ListParagraph"/>
              <w:numPr>
                <w:ilvl w:val="0"/>
                <w:numId w:val="5"/>
              </w:numPr>
              <w:rPr>
                <w:lang w:val="en-IN"/>
              </w:rPr>
            </w:pPr>
            <w:r w:rsidRPr="006D3C76">
              <w:rPr>
                <w:lang w:val="en-IN"/>
              </w:rPr>
              <w:t xml:space="preserve">16 GB (recommended for smooth performance) </w:t>
            </w:r>
          </w:p>
          <w:p w14:paraId="391B22EA" w14:textId="1EA4115F" w:rsidR="006D3C76" w:rsidRPr="006D3C76" w:rsidRDefault="006D3C76" w:rsidP="006D3C76">
            <w:pPr>
              <w:pStyle w:val="ListParagraph"/>
              <w:numPr>
                <w:ilvl w:val="0"/>
                <w:numId w:val="5"/>
              </w:numPr>
              <w:rPr>
                <w:lang w:val="en-IN"/>
              </w:rPr>
            </w:pPr>
            <w:r w:rsidRPr="006D3C76">
              <w:rPr>
                <w:lang w:val="en-IN"/>
              </w:rPr>
              <w:t xml:space="preserve">Minimum </w:t>
            </w:r>
            <w:r w:rsidRPr="006D3C76">
              <w:rPr>
                <w:b/>
                <w:bCs/>
                <w:lang w:val="en-IN"/>
              </w:rPr>
              <w:t>256 GB SSD</w:t>
            </w:r>
            <w:r w:rsidRPr="006D3C76">
              <w:rPr>
                <w:lang w:val="en-IN"/>
              </w:rPr>
              <w:t xml:space="preserve"> (with at least 64 GB available for OS) </w:t>
            </w:r>
          </w:p>
          <w:p w14:paraId="5599406A" w14:textId="6998E705" w:rsidR="006D3C76" w:rsidRPr="006D3C76" w:rsidRDefault="006D3C76" w:rsidP="006D3C76">
            <w:pPr>
              <w:pStyle w:val="ListParagraph"/>
              <w:numPr>
                <w:ilvl w:val="0"/>
                <w:numId w:val="5"/>
              </w:numPr>
              <w:rPr>
                <w:lang w:val="en-IN"/>
              </w:rPr>
            </w:pPr>
            <w:r w:rsidRPr="006D3C76">
              <w:rPr>
                <w:lang w:val="en-IN"/>
              </w:rPr>
              <w:t xml:space="preserve">Gigabit Ethernet / Wi-Fi 5 or higher </w:t>
            </w:r>
          </w:p>
          <w:p w14:paraId="734913B9" w14:textId="6AE18ADB" w:rsidR="006D3C76" w:rsidRPr="006D3C76" w:rsidRDefault="006D3C76" w:rsidP="006D3C76">
            <w:pPr>
              <w:pStyle w:val="ListParagraph"/>
              <w:numPr>
                <w:ilvl w:val="0"/>
                <w:numId w:val="5"/>
              </w:numPr>
              <w:rPr>
                <w:lang w:val="en-IN"/>
              </w:rPr>
            </w:pPr>
            <w:r w:rsidRPr="006D3C76">
              <w:rPr>
                <w:lang w:val="en-IN"/>
              </w:rPr>
              <w:t xml:space="preserve">Minimum 1920 × 1080 (Full HD) resolution </w:t>
            </w:r>
          </w:p>
          <w:p w14:paraId="00E7A98D" w14:textId="7F2886DA" w:rsidR="00743A84" w:rsidRDefault="00743A84" w:rsidP="00180475">
            <w:pPr>
              <w:pStyle w:val="ListParagraph"/>
              <w:numPr>
                <w:ilvl w:val="0"/>
                <w:numId w:val="5"/>
              </w:numPr>
            </w:pPr>
            <w:r>
              <w:t xml:space="preserve">Windows </w:t>
            </w:r>
            <w:r w:rsidR="00A01434">
              <w:t>11</w:t>
            </w:r>
            <w:r w:rsidR="00A33592">
              <w:t xml:space="preserve"> </w:t>
            </w:r>
          </w:p>
          <w:p w14:paraId="52603760" w14:textId="5E5C58E9" w:rsidR="00743A84" w:rsidRDefault="00743A84" w:rsidP="00180475">
            <w:pPr>
              <w:pStyle w:val="ListParagraph"/>
              <w:numPr>
                <w:ilvl w:val="0"/>
                <w:numId w:val="5"/>
              </w:numPr>
            </w:pPr>
            <w:r>
              <w:t>Microsoft</w:t>
            </w:r>
            <w:r w:rsidR="00474169">
              <w:t xml:space="preserve"> 32bit</w:t>
            </w:r>
            <w:r>
              <w:t xml:space="preserve"> Word 2010</w:t>
            </w:r>
            <w:r w:rsidR="0034585D">
              <w:t xml:space="preserve"> (See Note below)</w:t>
            </w:r>
            <w:r w:rsidR="00474169">
              <w:t>.</w:t>
            </w:r>
            <w:r>
              <w:t xml:space="preserve"> Excel 2010</w:t>
            </w:r>
            <w:r w:rsidR="0034585D">
              <w:t>,</w:t>
            </w:r>
            <w:r w:rsidR="00474169">
              <w:t xml:space="preserve"> </w:t>
            </w:r>
            <w:r w:rsidR="000142AB">
              <w:t>2013</w:t>
            </w:r>
            <w:r w:rsidR="0073039A" w:rsidRPr="002F194A">
              <w:t>, 2016</w:t>
            </w:r>
            <w:r>
              <w:t xml:space="preserve"> </w:t>
            </w:r>
            <w:r w:rsidR="0034585D">
              <w:t xml:space="preserve">is </w:t>
            </w:r>
            <w:r>
              <w:t>recommended for viewing exported reports</w:t>
            </w:r>
            <w:r w:rsidR="0034585D">
              <w:t>.</w:t>
            </w:r>
          </w:p>
          <w:p w14:paraId="50393DB5" w14:textId="77777777" w:rsidR="00A86119" w:rsidRDefault="00A86119" w:rsidP="00180475">
            <w:pPr>
              <w:pStyle w:val="ListParagraph"/>
              <w:numPr>
                <w:ilvl w:val="0"/>
                <w:numId w:val="5"/>
              </w:numPr>
            </w:pPr>
            <w:r>
              <w:t xml:space="preserve">UAC </w:t>
            </w:r>
            <w:r w:rsidR="00474169">
              <w:t xml:space="preserve">must be </w:t>
            </w:r>
            <w:r>
              <w:t>completely disabled</w:t>
            </w:r>
          </w:p>
          <w:p w14:paraId="3F013A45" w14:textId="77777777" w:rsidR="00743A84" w:rsidRDefault="00180475" w:rsidP="00D5367A">
            <w:pPr>
              <w:rPr>
                <w:b/>
              </w:rPr>
            </w:pPr>
            <w:r w:rsidRPr="00180475">
              <w:rPr>
                <w:b/>
              </w:rPr>
              <w:t>NOTE: 64-BIT VERSIONS OF MS OFFICE ARE NOT SUPPORTED.</w:t>
            </w:r>
            <w:r w:rsidR="00434C1C" w:rsidRPr="00180475">
              <w:rPr>
                <w:b/>
              </w:rPr>
              <w:t xml:space="preserve"> </w:t>
            </w:r>
            <w:r w:rsidR="00434C1C">
              <w:rPr>
                <w:b/>
              </w:rPr>
              <w:t xml:space="preserve"> </w:t>
            </w:r>
            <w:r w:rsidRPr="00180475">
              <w:rPr>
                <w:b/>
              </w:rPr>
              <w:t>TRIAL VERSIONS OR CLOUD BASED (Office 365) VERSIONS WILL NOT WORK.</w:t>
            </w:r>
            <w:r w:rsidR="00434C1C">
              <w:rPr>
                <w:b/>
              </w:rPr>
              <w:t xml:space="preserve">  </w:t>
            </w:r>
          </w:p>
          <w:p w14:paraId="2D254A06" w14:textId="77777777" w:rsidR="0072792E" w:rsidRDefault="0072792E" w:rsidP="00B75929">
            <w:pPr>
              <w:pStyle w:val="Heading3"/>
            </w:pPr>
            <w:bookmarkStart w:id="12" w:name="_Toc227163126"/>
            <w:r>
              <w:t>Peripheral Support:</w:t>
            </w:r>
            <w:bookmarkEnd w:id="12"/>
          </w:p>
          <w:p w14:paraId="0A95A3AC" w14:textId="5700CB34" w:rsidR="0072792E" w:rsidRDefault="0072792E" w:rsidP="00B75929">
            <w:pPr>
              <w:pStyle w:val="ListParagraph"/>
              <w:numPr>
                <w:ilvl w:val="0"/>
                <w:numId w:val="9"/>
              </w:numPr>
            </w:pPr>
            <w:r w:rsidRPr="00B75929">
              <w:rPr>
                <w:b/>
              </w:rPr>
              <w:t>Card Scanner</w:t>
            </w:r>
            <w:r w:rsidR="00983309" w:rsidRPr="00B75929">
              <w:rPr>
                <w:b/>
              </w:rPr>
              <w:t>:</w:t>
            </w:r>
            <w:r w:rsidR="00983309">
              <w:t xml:space="preserve"> Scanshell</w:t>
            </w:r>
            <w:r>
              <w:t xml:space="preserve"> 3100D </w:t>
            </w:r>
            <w:r w:rsidR="008C1DB8">
              <w:t xml:space="preserve">/ DN </w:t>
            </w:r>
            <w:r>
              <w:t xml:space="preserve">(NOTE: 3100DN model </w:t>
            </w:r>
            <w:r w:rsidR="00BC3FE8">
              <w:t>does not</w:t>
            </w:r>
            <w:r>
              <w:t xml:space="preserve"> support OCR; if OCR is required,</w:t>
            </w:r>
            <w:r w:rsidR="0034585D">
              <w:t xml:space="preserve"> only the 3100D is supported). </w:t>
            </w:r>
          </w:p>
          <w:p w14:paraId="29B4A8A5" w14:textId="71584988" w:rsidR="0072792E" w:rsidRDefault="0072792E" w:rsidP="00B75929">
            <w:pPr>
              <w:pStyle w:val="ListParagraph"/>
              <w:numPr>
                <w:ilvl w:val="0"/>
                <w:numId w:val="9"/>
              </w:numPr>
            </w:pPr>
            <w:r w:rsidRPr="00B75929">
              <w:rPr>
                <w:b/>
              </w:rPr>
              <w:t>Document Scanners</w:t>
            </w:r>
            <w:r w:rsidR="00756CD6" w:rsidRPr="00B75929">
              <w:rPr>
                <w:b/>
              </w:rPr>
              <w:t>:</w:t>
            </w:r>
            <w:r w:rsidR="00756CD6">
              <w:t xml:space="preserve"> Kodak</w:t>
            </w:r>
            <w:r>
              <w:t xml:space="preserve"> i200</w:t>
            </w:r>
            <w:r w:rsidR="008C1DB8">
              <w:t>0, Kodak i2800, Fujitsu 6130,</w:t>
            </w:r>
            <w:r>
              <w:t xml:space="preserve"> 6140</w:t>
            </w:r>
            <w:r w:rsidR="008C1DB8" w:rsidRPr="002F194A">
              <w:t>, 7160</w:t>
            </w:r>
            <w:r w:rsidR="0073039A" w:rsidRPr="002F194A">
              <w:t>, Brother ADS-3000N</w:t>
            </w:r>
            <w:r>
              <w:t xml:space="preserve"> (Minimum of TWO scanners </w:t>
            </w:r>
            <w:r w:rsidR="0034585D">
              <w:t>is recommended</w:t>
            </w:r>
            <w:r>
              <w:t xml:space="preserve"> for failover)</w:t>
            </w:r>
          </w:p>
          <w:p w14:paraId="12B68D66" w14:textId="0667606D" w:rsidR="0072792E" w:rsidRDefault="0072792E" w:rsidP="00B75929">
            <w:pPr>
              <w:pStyle w:val="ListParagraph"/>
              <w:numPr>
                <w:ilvl w:val="0"/>
                <w:numId w:val="9"/>
              </w:numPr>
            </w:pPr>
            <w:r w:rsidRPr="00B75929">
              <w:rPr>
                <w:b/>
              </w:rPr>
              <w:t>Microphone</w:t>
            </w:r>
            <w:r w:rsidR="00756CD6" w:rsidRPr="00B75929">
              <w:rPr>
                <w:b/>
              </w:rPr>
              <w:t>:</w:t>
            </w:r>
            <w:r w:rsidR="00756CD6">
              <w:t xml:space="preserve"> Nuance</w:t>
            </w:r>
            <w:r>
              <w:t xml:space="preserve"> PowerMic II </w:t>
            </w:r>
            <w:r w:rsidR="008C1DB8">
              <w:t xml:space="preserve">or PowerMic III </w:t>
            </w:r>
            <w:r>
              <w:t>for voice dictation</w:t>
            </w:r>
          </w:p>
          <w:p w14:paraId="005B322A" w14:textId="66AAEDF6" w:rsidR="0072792E" w:rsidRDefault="0072792E" w:rsidP="00B75929">
            <w:pPr>
              <w:pStyle w:val="ListParagraph"/>
              <w:numPr>
                <w:ilvl w:val="0"/>
                <w:numId w:val="9"/>
              </w:numPr>
            </w:pPr>
            <w:r w:rsidRPr="00B75929">
              <w:rPr>
                <w:b/>
              </w:rPr>
              <w:t>Signature Pad</w:t>
            </w:r>
            <w:r w:rsidR="00756CD6" w:rsidRPr="00B75929">
              <w:rPr>
                <w:b/>
              </w:rPr>
              <w:t>:</w:t>
            </w:r>
            <w:r w:rsidR="00756CD6">
              <w:t xml:space="preserve"> Topaz</w:t>
            </w:r>
            <w:r>
              <w:t xml:space="preserve"> USB T-LBK462-HSB-R </w:t>
            </w:r>
            <w:r w:rsidR="008C1DB8">
              <w:t xml:space="preserve">/ BSB-R </w:t>
            </w:r>
            <w:r>
              <w:t>(This is required if the practice wants to get patient signatures.)</w:t>
            </w:r>
          </w:p>
          <w:p w14:paraId="45A019E6" w14:textId="07C7F5BE" w:rsidR="0072792E" w:rsidRDefault="0072792E" w:rsidP="00B75929">
            <w:pPr>
              <w:pStyle w:val="ListParagraph"/>
              <w:numPr>
                <w:ilvl w:val="0"/>
                <w:numId w:val="9"/>
              </w:numPr>
            </w:pPr>
            <w:r w:rsidRPr="00B75929">
              <w:rPr>
                <w:b/>
              </w:rPr>
              <w:t>Web Camera</w:t>
            </w:r>
            <w:r w:rsidR="00756CD6" w:rsidRPr="00B75929">
              <w:rPr>
                <w:b/>
              </w:rPr>
              <w:t>:</w:t>
            </w:r>
            <w:r w:rsidR="00756CD6">
              <w:t xml:space="preserve"> Windows</w:t>
            </w:r>
            <w:r>
              <w:t xml:space="preserve"> supported USB web</w:t>
            </w:r>
            <w:r w:rsidR="00474169">
              <w:t xml:space="preserve"> </w:t>
            </w:r>
            <w:r>
              <w:t>camera for taking patient photographs</w:t>
            </w:r>
          </w:p>
        </w:tc>
      </w:tr>
    </w:tbl>
    <w:p w14:paraId="04757C86" w14:textId="77777777" w:rsidR="009B5535" w:rsidRDefault="009B5535" w:rsidP="00E65A03">
      <w:pPr>
        <w:pStyle w:val="Heading1"/>
      </w:pPr>
    </w:p>
    <w:p w14:paraId="2A36C64C" w14:textId="77777777" w:rsidR="00E65A03" w:rsidRDefault="00E65A03" w:rsidP="00E65A03">
      <w:pPr>
        <w:pStyle w:val="Heading1"/>
      </w:pPr>
      <w:bookmarkStart w:id="13" w:name="_Toc227163127"/>
      <w:r>
        <w:t>Virtualization Technologies</w:t>
      </w:r>
      <w:bookmarkEnd w:id="13"/>
    </w:p>
    <w:p w14:paraId="12620C22" w14:textId="77777777" w:rsidR="001F46DE" w:rsidRDefault="00E65A03" w:rsidP="00E65A03">
      <w:r>
        <w:t xml:space="preserve">Virtualization technologies such as VMWare ESXi/ESX, Microsoft Hyper-V, or Citrix XenServer may be used assuming resource allocations meet or exceed </w:t>
      </w:r>
      <w:r w:rsidR="00BB4B90">
        <w:t>TRIARQ</w:t>
      </w:r>
      <w:r>
        <w:t xml:space="preserve">’s hardware </w:t>
      </w:r>
      <w:r w:rsidR="00E4798C">
        <w:t>requirements</w:t>
      </w:r>
      <w:r>
        <w:t xml:space="preserve">.  </w:t>
      </w:r>
    </w:p>
    <w:p w14:paraId="56782282" w14:textId="77777777" w:rsidR="00806E45" w:rsidRDefault="00806E45" w:rsidP="00806E45">
      <w:pPr>
        <w:pStyle w:val="Heading1"/>
      </w:pPr>
      <w:bookmarkStart w:id="14" w:name="_Toc227163128"/>
      <w:r>
        <w:t>Configuration Diagram Samples</w:t>
      </w:r>
      <w:bookmarkEnd w:id="14"/>
    </w:p>
    <w:p w14:paraId="59D0AADE" w14:textId="77777777" w:rsidR="003C2406" w:rsidRPr="003C2406" w:rsidRDefault="003C2406" w:rsidP="003C2406">
      <w:pPr>
        <w:pStyle w:val="Heading2"/>
      </w:pPr>
      <w:bookmarkStart w:id="15" w:name="_Toc227163129"/>
      <w:r>
        <w:t>Basic Thick Client Deployment – 1 location</w:t>
      </w:r>
      <w:bookmarkEnd w:id="15"/>
    </w:p>
    <w:p w14:paraId="3537F817" w14:textId="61D82E33" w:rsidR="00C137B3" w:rsidRPr="00C137B3" w:rsidRDefault="00C137B3" w:rsidP="00C137B3">
      <w:r>
        <w:t xml:space="preserve">The following diagram illustrates a basic practice with one physical location using thick clients and a locally deployed </w:t>
      </w:r>
      <w:r w:rsidR="00B67353">
        <w:t>SQL Server</w:t>
      </w:r>
      <w:r>
        <w:t>:</w:t>
      </w:r>
    </w:p>
    <w:p w14:paraId="3F356458" w14:textId="77777777" w:rsidR="00BA76E1" w:rsidRDefault="00C137B3" w:rsidP="00C137B3">
      <w:pPr>
        <w:jc w:val="center"/>
      </w:pPr>
      <w:r>
        <w:object w:dxaOrig="13942" w:dyaOrig="8910" w14:anchorId="47DFF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01.5pt" o:ole="">
            <v:imagedata r:id="rId11" o:title=""/>
          </v:shape>
          <o:OLEObject Type="Embed" ProgID="Visio.Drawing.11" ShapeID="_x0000_i1025" DrawAspect="Content" ObjectID="_1839587844" r:id="rId12"/>
        </w:object>
      </w:r>
    </w:p>
    <w:p w14:paraId="7E576393" w14:textId="77777777" w:rsidR="00A01446" w:rsidRDefault="00A01446" w:rsidP="00C137B3">
      <w:pPr>
        <w:jc w:val="center"/>
      </w:pPr>
    </w:p>
    <w:p w14:paraId="7993F5E9" w14:textId="77777777" w:rsidR="002C43D0" w:rsidRDefault="002C43D0" w:rsidP="00C137B3">
      <w:pPr>
        <w:jc w:val="center"/>
      </w:pPr>
    </w:p>
    <w:p w14:paraId="3C4DE10F" w14:textId="77777777" w:rsidR="002C43D0" w:rsidRDefault="002C43D0" w:rsidP="00C137B3">
      <w:pPr>
        <w:jc w:val="center"/>
      </w:pPr>
    </w:p>
    <w:p w14:paraId="5F868D1A" w14:textId="410257F1" w:rsidR="00A528A4" w:rsidRDefault="00A528A4" w:rsidP="008D7F3A"/>
    <w:sectPr w:rsidR="00A528A4" w:rsidSect="008B1BA4">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88F2" w14:textId="77777777" w:rsidR="003C37BB" w:rsidRDefault="003C37BB" w:rsidP="00456A71">
      <w:pPr>
        <w:spacing w:after="0" w:line="240" w:lineRule="auto"/>
      </w:pPr>
      <w:r>
        <w:separator/>
      </w:r>
    </w:p>
  </w:endnote>
  <w:endnote w:type="continuationSeparator" w:id="0">
    <w:p w14:paraId="20EB365B" w14:textId="77777777" w:rsidR="003C37BB" w:rsidRDefault="003C37BB" w:rsidP="00456A71">
      <w:pPr>
        <w:spacing w:after="0" w:line="240" w:lineRule="auto"/>
      </w:pPr>
      <w:r>
        <w:continuationSeparator/>
      </w:r>
    </w:p>
  </w:endnote>
  <w:endnote w:type="continuationNotice" w:id="1">
    <w:p w14:paraId="295D76C6" w14:textId="77777777" w:rsidR="003C37BB" w:rsidRDefault="003C3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46571"/>
      <w:docPartObj>
        <w:docPartGallery w:val="Page Numbers (Bottom of Page)"/>
        <w:docPartUnique/>
      </w:docPartObj>
    </w:sdtPr>
    <w:sdtContent>
      <w:sdt>
        <w:sdtPr>
          <w:id w:val="-1669238322"/>
          <w:docPartObj>
            <w:docPartGallery w:val="Page Numbers (Top of Page)"/>
            <w:docPartUnique/>
          </w:docPartObj>
        </w:sdtPr>
        <w:sdtContent>
          <w:p w14:paraId="5D049B47" w14:textId="77777777" w:rsidR="00B07DCE" w:rsidRDefault="00B07D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115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1157">
              <w:rPr>
                <w:b/>
                <w:bCs/>
                <w:noProof/>
              </w:rPr>
              <w:t>8</w:t>
            </w:r>
            <w:r>
              <w:rPr>
                <w:b/>
                <w:bCs/>
                <w:sz w:val="24"/>
                <w:szCs w:val="24"/>
              </w:rPr>
              <w:fldChar w:fldCharType="end"/>
            </w:r>
          </w:p>
        </w:sdtContent>
      </w:sdt>
    </w:sdtContent>
  </w:sdt>
  <w:p w14:paraId="14C5C8F7" w14:textId="77777777" w:rsidR="0091533A" w:rsidRDefault="0091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EB4F" w14:textId="77777777" w:rsidR="003C37BB" w:rsidRDefault="003C37BB" w:rsidP="00456A71">
      <w:pPr>
        <w:spacing w:after="0" w:line="240" w:lineRule="auto"/>
      </w:pPr>
      <w:r>
        <w:separator/>
      </w:r>
    </w:p>
  </w:footnote>
  <w:footnote w:type="continuationSeparator" w:id="0">
    <w:p w14:paraId="21D143CF" w14:textId="77777777" w:rsidR="003C37BB" w:rsidRDefault="003C37BB" w:rsidP="00456A71">
      <w:pPr>
        <w:spacing w:after="0" w:line="240" w:lineRule="auto"/>
      </w:pPr>
      <w:r>
        <w:continuationSeparator/>
      </w:r>
    </w:p>
  </w:footnote>
  <w:footnote w:type="continuationNotice" w:id="1">
    <w:p w14:paraId="0081CCFF" w14:textId="77777777" w:rsidR="003C37BB" w:rsidRDefault="003C3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55A4" w14:textId="77777777" w:rsidR="0091533A" w:rsidRDefault="00B10DC2" w:rsidP="0091533A">
    <w:pPr>
      <w:pStyle w:val="Header"/>
      <w:jc w:val="right"/>
    </w:pPr>
    <w:r w:rsidRPr="00B10DC2">
      <w:rPr>
        <w:noProof/>
        <w:color w:val="FFFFFF" w:themeColor="background1"/>
        <w:sz w:val="40"/>
        <w:szCs w:val="40"/>
      </w:rPr>
      <mc:AlternateContent>
        <mc:Choice Requires="wps">
          <w:drawing>
            <wp:anchor distT="45720" distB="45720" distL="114300" distR="114300" simplePos="0" relativeHeight="251658240" behindDoc="0" locked="0" layoutInCell="1" allowOverlap="1" wp14:anchorId="65D370D4" wp14:editId="7B9C6AE0">
              <wp:simplePos x="0" y="0"/>
              <wp:positionH relativeFrom="margin">
                <wp:align>center</wp:align>
              </wp:positionH>
              <wp:positionV relativeFrom="paragraph">
                <wp:posOffset>495300</wp:posOffset>
              </wp:positionV>
              <wp:extent cx="2360930" cy="5143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4350"/>
                      </a:xfrm>
                      <a:prstGeom prst="rect">
                        <a:avLst/>
                      </a:prstGeom>
                      <a:noFill/>
                      <a:ln w="9525">
                        <a:noFill/>
                        <a:miter lim="800000"/>
                        <a:headEnd/>
                        <a:tailEnd/>
                      </a:ln>
                    </wps:spPr>
                    <wps:txbx>
                      <w:txbxContent>
                        <w:p w14:paraId="71D409B6" w14:textId="77777777" w:rsidR="00B10DC2" w:rsidRPr="00474328" w:rsidRDefault="00B10DC2" w:rsidP="00B10DC2">
                          <w:pPr>
                            <w:jc w:val="center"/>
                            <w:rPr>
                              <w:color w:val="FFFFFF" w:themeColor="background1"/>
                              <w:sz w:val="40"/>
                              <w:szCs w:val="40"/>
                            </w:rPr>
                          </w:pPr>
                          <w:r w:rsidRPr="00474328">
                            <w:rPr>
                              <w:color w:val="FFFFFF" w:themeColor="background1"/>
                              <w:sz w:val="40"/>
                              <w:szCs w:val="40"/>
                            </w:rPr>
                            <w:t>Technical Guide</w:t>
                          </w:r>
                        </w:p>
                        <w:p w14:paraId="6E85707E" w14:textId="77777777" w:rsidR="00B10DC2" w:rsidRDefault="00B10DC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D370D4" id="_x0000_t202" coordsize="21600,21600" o:spt="202" path="m,l,21600r21600,l21600,xe">
              <v:stroke joinstyle="miter"/>
              <v:path gradientshapeok="t" o:connecttype="rect"/>
            </v:shapetype>
            <v:shape id="Text Box 217" o:spid="_x0000_s1026" type="#_x0000_t202" style="position:absolute;left:0;text-align:left;margin-left:0;margin-top:39pt;width:185.9pt;height:40.5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" filled="f" stroked="f">
              <v:textbox>
                <w:txbxContent>
                  <w:p w14:paraId="71D409B6" w14:textId="77777777" w:rsidR="00B10DC2" w:rsidRPr="00474328" w:rsidRDefault="00B10DC2" w:rsidP="00B10DC2">
                    <w:pPr>
                      <w:jc w:val="center"/>
                      <w:rPr>
                        <w:color w:val="FFFFFF" w:themeColor="background1"/>
                        <w:sz w:val="40"/>
                        <w:szCs w:val="40"/>
                      </w:rPr>
                    </w:pPr>
                    <w:r w:rsidRPr="00474328">
                      <w:rPr>
                        <w:color w:val="FFFFFF" w:themeColor="background1"/>
                        <w:sz w:val="40"/>
                        <w:szCs w:val="40"/>
                      </w:rPr>
                      <w:t>Technical Guide</w:t>
                    </w:r>
                  </w:p>
                  <w:p w14:paraId="6E85707E" w14:textId="77777777" w:rsidR="00B10DC2" w:rsidRDefault="00B10DC2"/>
                </w:txbxContent>
              </v:textbox>
              <w10:wrap anchorx="margin"/>
            </v:shape>
          </w:pict>
        </mc:Fallback>
      </mc:AlternateContent>
    </w:r>
    <w:r w:rsidRPr="00474328">
      <w:rPr>
        <w:color w:val="FFFFFF" w:themeColor="background1"/>
        <w:sz w:val="40"/>
        <w:szCs w:val="40"/>
      </w:rPr>
      <w:t xml:space="preserve">Technical </w:t>
    </w:r>
    <w:r w:rsidR="00E6157B">
      <w:rPr>
        <w:noProof/>
        <w:lang w:val="en-IN" w:eastAsia="en-IN"/>
      </w:rPr>
      <w:drawing>
        <wp:inline distT="0" distB="0" distL="0" distR="0" wp14:anchorId="3ABD08DD" wp14:editId="0109D8EF">
          <wp:extent cx="7184571"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Sheet Header.jpg"/>
                  <pic:cNvPicPr/>
                </pic:nvPicPr>
                <pic:blipFill>
                  <a:blip r:embed="rId1">
                    <a:extLst>
                      <a:ext uri="{28A0092B-C50C-407E-A947-70E740481C1C}">
                        <a14:useLocalDpi xmlns:a14="http://schemas.microsoft.com/office/drawing/2010/main" val="0"/>
                      </a:ext>
                    </a:extLst>
                  </a:blip>
                  <a:stretch>
                    <a:fillRect/>
                  </a:stretch>
                </pic:blipFill>
                <pic:spPr>
                  <a:xfrm>
                    <a:off x="0" y="0"/>
                    <a:ext cx="7188537" cy="83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2D3"/>
    <w:multiLevelType w:val="multilevel"/>
    <w:tmpl w:val="BB6CB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06F2"/>
    <w:multiLevelType w:val="hybridMultilevel"/>
    <w:tmpl w:val="2B20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5816"/>
    <w:multiLevelType w:val="hybridMultilevel"/>
    <w:tmpl w:val="A99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7156F"/>
    <w:multiLevelType w:val="multilevel"/>
    <w:tmpl w:val="D3B0B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D4C29"/>
    <w:multiLevelType w:val="multilevel"/>
    <w:tmpl w:val="F766B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C18"/>
    <w:multiLevelType w:val="hybridMultilevel"/>
    <w:tmpl w:val="3DD80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DA3D53"/>
    <w:multiLevelType w:val="multilevel"/>
    <w:tmpl w:val="B49E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773DA"/>
    <w:multiLevelType w:val="hybridMultilevel"/>
    <w:tmpl w:val="D7CC5678"/>
    <w:lvl w:ilvl="0" w:tplc="BB264C34">
      <w:start w:val="1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1D3D0B"/>
    <w:multiLevelType w:val="multilevel"/>
    <w:tmpl w:val="205E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375B9"/>
    <w:multiLevelType w:val="hybridMultilevel"/>
    <w:tmpl w:val="3968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644"/>
    <w:multiLevelType w:val="hybridMultilevel"/>
    <w:tmpl w:val="7180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D3AC7"/>
    <w:multiLevelType w:val="hybridMultilevel"/>
    <w:tmpl w:val="5E92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50A88"/>
    <w:multiLevelType w:val="multilevel"/>
    <w:tmpl w:val="872C2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C4230"/>
    <w:multiLevelType w:val="multilevel"/>
    <w:tmpl w:val="BFC47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E6FC7"/>
    <w:multiLevelType w:val="multilevel"/>
    <w:tmpl w:val="D8A85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74F13"/>
    <w:multiLevelType w:val="hybridMultilevel"/>
    <w:tmpl w:val="885E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06E23"/>
    <w:multiLevelType w:val="hybridMultilevel"/>
    <w:tmpl w:val="7CAC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D5534"/>
    <w:multiLevelType w:val="multilevel"/>
    <w:tmpl w:val="E5963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6083E"/>
    <w:multiLevelType w:val="multilevel"/>
    <w:tmpl w:val="AB602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8764C"/>
    <w:multiLevelType w:val="hybridMultilevel"/>
    <w:tmpl w:val="00BA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4464F0"/>
    <w:multiLevelType w:val="multilevel"/>
    <w:tmpl w:val="3B88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41038"/>
    <w:multiLevelType w:val="multilevel"/>
    <w:tmpl w:val="DCEC0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A3A55"/>
    <w:multiLevelType w:val="hybridMultilevel"/>
    <w:tmpl w:val="3240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07697"/>
    <w:multiLevelType w:val="multilevel"/>
    <w:tmpl w:val="8F4A9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235A9"/>
    <w:multiLevelType w:val="multilevel"/>
    <w:tmpl w:val="900A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E5A13"/>
    <w:multiLevelType w:val="hybridMultilevel"/>
    <w:tmpl w:val="EF96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822010">
    <w:abstractNumId w:val="9"/>
  </w:num>
  <w:num w:numId="2" w16cid:durableId="380448428">
    <w:abstractNumId w:val="11"/>
  </w:num>
  <w:num w:numId="3" w16cid:durableId="922027005">
    <w:abstractNumId w:val="22"/>
  </w:num>
  <w:num w:numId="4" w16cid:durableId="488640991">
    <w:abstractNumId w:val="15"/>
  </w:num>
  <w:num w:numId="5" w16cid:durableId="1373580267">
    <w:abstractNumId w:val="16"/>
  </w:num>
  <w:num w:numId="6" w16cid:durableId="800197948">
    <w:abstractNumId w:val="19"/>
  </w:num>
  <w:num w:numId="7" w16cid:durableId="1797527970">
    <w:abstractNumId w:val="1"/>
  </w:num>
  <w:num w:numId="8" w16cid:durableId="359820969">
    <w:abstractNumId w:val="10"/>
  </w:num>
  <w:num w:numId="9" w16cid:durableId="1411928856">
    <w:abstractNumId w:val="2"/>
  </w:num>
  <w:num w:numId="10" w16cid:durableId="1613973132">
    <w:abstractNumId w:val="20"/>
  </w:num>
  <w:num w:numId="11" w16cid:durableId="136146063">
    <w:abstractNumId w:val="17"/>
  </w:num>
  <w:num w:numId="12" w16cid:durableId="1597056789">
    <w:abstractNumId w:val="24"/>
  </w:num>
  <w:num w:numId="13" w16cid:durableId="235362750">
    <w:abstractNumId w:val="14"/>
  </w:num>
  <w:num w:numId="14" w16cid:durableId="1969044715">
    <w:abstractNumId w:val="12"/>
  </w:num>
  <w:num w:numId="15" w16cid:durableId="1857041935">
    <w:abstractNumId w:val="3"/>
  </w:num>
  <w:num w:numId="16" w16cid:durableId="188296201">
    <w:abstractNumId w:val="18"/>
  </w:num>
  <w:num w:numId="17" w16cid:durableId="700863960">
    <w:abstractNumId w:val="8"/>
  </w:num>
  <w:num w:numId="18" w16cid:durableId="1270816964">
    <w:abstractNumId w:val="21"/>
  </w:num>
  <w:num w:numId="19" w16cid:durableId="637614662">
    <w:abstractNumId w:val="13"/>
  </w:num>
  <w:num w:numId="20" w16cid:durableId="1427920153">
    <w:abstractNumId w:val="23"/>
  </w:num>
  <w:num w:numId="21" w16cid:durableId="1042095321">
    <w:abstractNumId w:val="4"/>
  </w:num>
  <w:num w:numId="22" w16cid:durableId="2053768944">
    <w:abstractNumId w:val="6"/>
  </w:num>
  <w:num w:numId="23" w16cid:durableId="629482675">
    <w:abstractNumId w:val="0"/>
  </w:num>
  <w:num w:numId="24" w16cid:durableId="87124083">
    <w:abstractNumId w:val="25"/>
  </w:num>
  <w:num w:numId="25" w16cid:durableId="1301963319">
    <w:abstractNumId w:val="5"/>
  </w:num>
  <w:num w:numId="26" w16cid:durableId="65005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A7"/>
    <w:rsid w:val="0000010A"/>
    <w:rsid w:val="000036B1"/>
    <w:rsid w:val="000142AB"/>
    <w:rsid w:val="000306A8"/>
    <w:rsid w:val="00052287"/>
    <w:rsid w:val="0005421E"/>
    <w:rsid w:val="00055E22"/>
    <w:rsid w:val="00076AD7"/>
    <w:rsid w:val="000965FB"/>
    <w:rsid w:val="000B264B"/>
    <w:rsid w:val="000B6ECD"/>
    <w:rsid w:val="000C5946"/>
    <w:rsid w:val="000D0A8D"/>
    <w:rsid w:val="000D48C7"/>
    <w:rsid w:val="000D6D2A"/>
    <w:rsid w:val="000E1118"/>
    <w:rsid w:val="000E4D36"/>
    <w:rsid w:val="000F7DB2"/>
    <w:rsid w:val="00106747"/>
    <w:rsid w:val="001164FC"/>
    <w:rsid w:val="001258BE"/>
    <w:rsid w:val="00154A5A"/>
    <w:rsid w:val="00154AFF"/>
    <w:rsid w:val="00163E8F"/>
    <w:rsid w:val="00180475"/>
    <w:rsid w:val="0019598F"/>
    <w:rsid w:val="001A6E01"/>
    <w:rsid w:val="001B01A6"/>
    <w:rsid w:val="001C260B"/>
    <w:rsid w:val="001D650C"/>
    <w:rsid w:val="001E6A71"/>
    <w:rsid w:val="001F46DE"/>
    <w:rsid w:val="00203725"/>
    <w:rsid w:val="00217039"/>
    <w:rsid w:val="00222D9F"/>
    <w:rsid w:val="00243558"/>
    <w:rsid w:val="00270F04"/>
    <w:rsid w:val="00276F4F"/>
    <w:rsid w:val="00290A8D"/>
    <w:rsid w:val="00290EF3"/>
    <w:rsid w:val="00293C20"/>
    <w:rsid w:val="002A39AC"/>
    <w:rsid w:val="002B3314"/>
    <w:rsid w:val="002C43D0"/>
    <w:rsid w:val="002F194A"/>
    <w:rsid w:val="002F64C4"/>
    <w:rsid w:val="003057F1"/>
    <w:rsid w:val="00306F30"/>
    <w:rsid w:val="0032576A"/>
    <w:rsid w:val="0033156C"/>
    <w:rsid w:val="0034585D"/>
    <w:rsid w:val="00357BF2"/>
    <w:rsid w:val="00361638"/>
    <w:rsid w:val="00362EF8"/>
    <w:rsid w:val="00370C63"/>
    <w:rsid w:val="003859F0"/>
    <w:rsid w:val="003A0ED1"/>
    <w:rsid w:val="003A2461"/>
    <w:rsid w:val="003B3D87"/>
    <w:rsid w:val="003C2406"/>
    <w:rsid w:val="003C37BB"/>
    <w:rsid w:val="003D4F28"/>
    <w:rsid w:val="003E11D6"/>
    <w:rsid w:val="003E6F3A"/>
    <w:rsid w:val="00400351"/>
    <w:rsid w:val="00403B4E"/>
    <w:rsid w:val="00403B95"/>
    <w:rsid w:val="00404422"/>
    <w:rsid w:val="00406A41"/>
    <w:rsid w:val="00413975"/>
    <w:rsid w:val="00417F56"/>
    <w:rsid w:val="00424BEC"/>
    <w:rsid w:val="00434C1C"/>
    <w:rsid w:val="004357F5"/>
    <w:rsid w:val="00456A71"/>
    <w:rsid w:val="0047330B"/>
    <w:rsid w:val="00473DAB"/>
    <w:rsid w:val="00474169"/>
    <w:rsid w:val="004854D1"/>
    <w:rsid w:val="00497A93"/>
    <w:rsid w:val="004A07E1"/>
    <w:rsid w:val="004A3313"/>
    <w:rsid w:val="004C1754"/>
    <w:rsid w:val="004D1F83"/>
    <w:rsid w:val="004E29E0"/>
    <w:rsid w:val="004E39F5"/>
    <w:rsid w:val="004F64EB"/>
    <w:rsid w:val="0050644E"/>
    <w:rsid w:val="005151C4"/>
    <w:rsid w:val="00533753"/>
    <w:rsid w:val="00536188"/>
    <w:rsid w:val="00542149"/>
    <w:rsid w:val="0054581B"/>
    <w:rsid w:val="005463DF"/>
    <w:rsid w:val="00567FF3"/>
    <w:rsid w:val="0057193A"/>
    <w:rsid w:val="00581062"/>
    <w:rsid w:val="00581098"/>
    <w:rsid w:val="005A2C13"/>
    <w:rsid w:val="005A2D76"/>
    <w:rsid w:val="005A6CEB"/>
    <w:rsid w:val="005B3621"/>
    <w:rsid w:val="005C3F81"/>
    <w:rsid w:val="005C78C6"/>
    <w:rsid w:val="005D5A3A"/>
    <w:rsid w:val="005E1211"/>
    <w:rsid w:val="005E28B0"/>
    <w:rsid w:val="005E41E4"/>
    <w:rsid w:val="005E5071"/>
    <w:rsid w:val="005F24C9"/>
    <w:rsid w:val="0060564A"/>
    <w:rsid w:val="006061E9"/>
    <w:rsid w:val="00607DC8"/>
    <w:rsid w:val="006121AE"/>
    <w:rsid w:val="006227B9"/>
    <w:rsid w:val="00624D76"/>
    <w:rsid w:val="00626A15"/>
    <w:rsid w:val="00627189"/>
    <w:rsid w:val="00635849"/>
    <w:rsid w:val="00654258"/>
    <w:rsid w:val="00664220"/>
    <w:rsid w:val="00674347"/>
    <w:rsid w:val="00677C5A"/>
    <w:rsid w:val="006A7D33"/>
    <w:rsid w:val="006B6127"/>
    <w:rsid w:val="006D1EF7"/>
    <w:rsid w:val="006D2000"/>
    <w:rsid w:val="006D3C76"/>
    <w:rsid w:val="006F1C96"/>
    <w:rsid w:val="006F4F62"/>
    <w:rsid w:val="00707284"/>
    <w:rsid w:val="00716E01"/>
    <w:rsid w:val="0072792E"/>
    <w:rsid w:val="0073039A"/>
    <w:rsid w:val="007317B1"/>
    <w:rsid w:val="007350C5"/>
    <w:rsid w:val="00743649"/>
    <w:rsid w:val="00743A84"/>
    <w:rsid w:val="00756CD6"/>
    <w:rsid w:val="00761EB2"/>
    <w:rsid w:val="00776EFE"/>
    <w:rsid w:val="00781DE4"/>
    <w:rsid w:val="007839EE"/>
    <w:rsid w:val="007A7168"/>
    <w:rsid w:val="007B02BC"/>
    <w:rsid w:val="007B4BE7"/>
    <w:rsid w:val="007B7424"/>
    <w:rsid w:val="007B77E3"/>
    <w:rsid w:val="007C0DF0"/>
    <w:rsid w:val="007E208B"/>
    <w:rsid w:val="007E5A43"/>
    <w:rsid w:val="007E688C"/>
    <w:rsid w:val="007F199B"/>
    <w:rsid w:val="007F3FF4"/>
    <w:rsid w:val="00803D3B"/>
    <w:rsid w:val="00806E45"/>
    <w:rsid w:val="00811E7F"/>
    <w:rsid w:val="008163CE"/>
    <w:rsid w:val="00820EAE"/>
    <w:rsid w:val="00821860"/>
    <w:rsid w:val="008257C8"/>
    <w:rsid w:val="008570CE"/>
    <w:rsid w:val="00866386"/>
    <w:rsid w:val="00870ED7"/>
    <w:rsid w:val="008848DA"/>
    <w:rsid w:val="0089786A"/>
    <w:rsid w:val="008B1BA4"/>
    <w:rsid w:val="008B65B6"/>
    <w:rsid w:val="008C1DB8"/>
    <w:rsid w:val="008D7F3A"/>
    <w:rsid w:val="008E7904"/>
    <w:rsid w:val="008F21CF"/>
    <w:rsid w:val="00901444"/>
    <w:rsid w:val="00905144"/>
    <w:rsid w:val="0091533A"/>
    <w:rsid w:val="0091538B"/>
    <w:rsid w:val="0092748A"/>
    <w:rsid w:val="00956A57"/>
    <w:rsid w:val="00966F4D"/>
    <w:rsid w:val="00973AAB"/>
    <w:rsid w:val="00976BB9"/>
    <w:rsid w:val="00983309"/>
    <w:rsid w:val="0098507C"/>
    <w:rsid w:val="009947AD"/>
    <w:rsid w:val="009B292E"/>
    <w:rsid w:val="009B4A7F"/>
    <w:rsid w:val="009B5535"/>
    <w:rsid w:val="009C0C96"/>
    <w:rsid w:val="009E7442"/>
    <w:rsid w:val="009F2B88"/>
    <w:rsid w:val="009F537C"/>
    <w:rsid w:val="009F5A42"/>
    <w:rsid w:val="00A000E6"/>
    <w:rsid w:val="00A01434"/>
    <w:rsid w:val="00A01446"/>
    <w:rsid w:val="00A04C8A"/>
    <w:rsid w:val="00A06A6B"/>
    <w:rsid w:val="00A138AE"/>
    <w:rsid w:val="00A20A67"/>
    <w:rsid w:val="00A2482B"/>
    <w:rsid w:val="00A327BA"/>
    <w:rsid w:val="00A33592"/>
    <w:rsid w:val="00A34AE2"/>
    <w:rsid w:val="00A362A5"/>
    <w:rsid w:val="00A3765D"/>
    <w:rsid w:val="00A5068B"/>
    <w:rsid w:val="00A528A4"/>
    <w:rsid w:val="00A54220"/>
    <w:rsid w:val="00A563B5"/>
    <w:rsid w:val="00A62DFC"/>
    <w:rsid w:val="00A7018F"/>
    <w:rsid w:val="00A80EE5"/>
    <w:rsid w:val="00A86119"/>
    <w:rsid w:val="00A9177B"/>
    <w:rsid w:val="00A93F00"/>
    <w:rsid w:val="00A94E55"/>
    <w:rsid w:val="00AB4C8F"/>
    <w:rsid w:val="00AC3497"/>
    <w:rsid w:val="00AC7D05"/>
    <w:rsid w:val="00AE1687"/>
    <w:rsid w:val="00AF066C"/>
    <w:rsid w:val="00B07DCE"/>
    <w:rsid w:val="00B10DC2"/>
    <w:rsid w:val="00B12EB4"/>
    <w:rsid w:val="00B172DF"/>
    <w:rsid w:val="00B232F5"/>
    <w:rsid w:val="00B32833"/>
    <w:rsid w:val="00B36C16"/>
    <w:rsid w:val="00B50918"/>
    <w:rsid w:val="00B534B7"/>
    <w:rsid w:val="00B57282"/>
    <w:rsid w:val="00B67287"/>
    <w:rsid w:val="00B67353"/>
    <w:rsid w:val="00B75929"/>
    <w:rsid w:val="00B75BB5"/>
    <w:rsid w:val="00B75BE0"/>
    <w:rsid w:val="00B832D9"/>
    <w:rsid w:val="00BA0CD2"/>
    <w:rsid w:val="00BA76E1"/>
    <w:rsid w:val="00BB4B90"/>
    <w:rsid w:val="00BC3FE8"/>
    <w:rsid w:val="00BC712A"/>
    <w:rsid w:val="00BE7698"/>
    <w:rsid w:val="00BF4920"/>
    <w:rsid w:val="00C019C6"/>
    <w:rsid w:val="00C032B8"/>
    <w:rsid w:val="00C059F6"/>
    <w:rsid w:val="00C12463"/>
    <w:rsid w:val="00C137B3"/>
    <w:rsid w:val="00C47411"/>
    <w:rsid w:val="00C516AD"/>
    <w:rsid w:val="00C550C5"/>
    <w:rsid w:val="00C57E7F"/>
    <w:rsid w:val="00C74868"/>
    <w:rsid w:val="00C8403F"/>
    <w:rsid w:val="00C95792"/>
    <w:rsid w:val="00CB3C40"/>
    <w:rsid w:val="00CD04BE"/>
    <w:rsid w:val="00CE11D5"/>
    <w:rsid w:val="00D1409F"/>
    <w:rsid w:val="00D22C9D"/>
    <w:rsid w:val="00D32156"/>
    <w:rsid w:val="00D5367A"/>
    <w:rsid w:val="00D54D89"/>
    <w:rsid w:val="00D6200D"/>
    <w:rsid w:val="00D63DA5"/>
    <w:rsid w:val="00D67383"/>
    <w:rsid w:val="00D70085"/>
    <w:rsid w:val="00D81FB1"/>
    <w:rsid w:val="00D911F6"/>
    <w:rsid w:val="00DA027F"/>
    <w:rsid w:val="00DC26C4"/>
    <w:rsid w:val="00DC4BB7"/>
    <w:rsid w:val="00DF417F"/>
    <w:rsid w:val="00E14BE0"/>
    <w:rsid w:val="00E15B83"/>
    <w:rsid w:val="00E21157"/>
    <w:rsid w:val="00E21A20"/>
    <w:rsid w:val="00E406EE"/>
    <w:rsid w:val="00E4798C"/>
    <w:rsid w:val="00E56EAA"/>
    <w:rsid w:val="00E6157B"/>
    <w:rsid w:val="00E64269"/>
    <w:rsid w:val="00E65A03"/>
    <w:rsid w:val="00E85389"/>
    <w:rsid w:val="00E925CF"/>
    <w:rsid w:val="00E9621B"/>
    <w:rsid w:val="00E9773F"/>
    <w:rsid w:val="00EB0B04"/>
    <w:rsid w:val="00EC10B0"/>
    <w:rsid w:val="00EC4B73"/>
    <w:rsid w:val="00EC6E65"/>
    <w:rsid w:val="00EC76DC"/>
    <w:rsid w:val="00ED3165"/>
    <w:rsid w:val="00ED3479"/>
    <w:rsid w:val="00EF1FFC"/>
    <w:rsid w:val="00F1335F"/>
    <w:rsid w:val="00F221CD"/>
    <w:rsid w:val="00F32923"/>
    <w:rsid w:val="00F37669"/>
    <w:rsid w:val="00F47045"/>
    <w:rsid w:val="00F47894"/>
    <w:rsid w:val="00F52196"/>
    <w:rsid w:val="00F61A32"/>
    <w:rsid w:val="00F638A7"/>
    <w:rsid w:val="00F638D5"/>
    <w:rsid w:val="00F67745"/>
    <w:rsid w:val="00F722AC"/>
    <w:rsid w:val="00F90377"/>
    <w:rsid w:val="00FB1514"/>
    <w:rsid w:val="00FB2761"/>
    <w:rsid w:val="00FB3619"/>
    <w:rsid w:val="00FE467F"/>
    <w:rsid w:val="00FF5700"/>
    <w:rsid w:val="00FF782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D5DE"/>
  <w14:defaultImageDpi w14:val="96"/>
  <w15:docId w15:val="{738BDF3F-9203-47C0-A45F-0CCD69AC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923"/>
    <w:pPr>
      <w:keepNext/>
      <w:keepLines/>
      <w:spacing w:after="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32923"/>
    <w:pPr>
      <w:keepNext/>
      <w:keepLines/>
      <w:spacing w:after="0"/>
      <w:outlineLvl w:val="1"/>
    </w:pPr>
    <w:rPr>
      <w:rFonts w:eastAsiaTheme="majorEastAsia" w:cstheme="majorBidi"/>
      <w:b/>
      <w:bCs/>
      <w:color w:val="1F497D" w:themeColor="text2"/>
      <w:sz w:val="32"/>
      <w:szCs w:val="26"/>
    </w:rPr>
  </w:style>
  <w:style w:type="paragraph" w:styleId="Heading3">
    <w:name w:val="heading 3"/>
    <w:basedOn w:val="Normal"/>
    <w:next w:val="Normal"/>
    <w:link w:val="Heading3Char"/>
    <w:uiPriority w:val="9"/>
    <w:unhideWhenUsed/>
    <w:qFormat/>
    <w:rsid w:val="00B172DF"/>
    <w:pPr>
      <w:keepNext/>
      <w:keepLines/>
      <w:spacing w:before="120" w:after="120"/>
      <w:outlineLvl w:val="2"/>
    </w:pPr>
    <w:rPr>
      <w:rFonts w:eastAsiaTheme="majorEastAsia" w:cstheme="majorBidi"/>
      <w:b/>
      <w:bCs/>
      <w:color w:val="000000" w:themeColor="text1"/>
      <w:sz w:val="28"/>
    </w:rPr>
  </w:style>
  <w:style w:type="paragraph" w:styleId="Heading4">
    <w:name w:val="heading 4"/>
    <w:basedOn w:val="Normal"/>
    <w:next w:val="Normal"/>
    <w:link w:val="Heading4Char"/>
    <w:uiPriority w:val="9"/>
    <w:unhideWhenUsed/>
    <w:qFormat/>
    <w:rsid w:val="00456A71"/>
    <w:pPr>
      <w:keepNext/>
      <w:keepLines/>
      <w:spacing w:before="200" w:after="0"/>
      <w:outlineLvl w:val="3"/>
    </w:pPr>
    <w:rPr>
      <w:rFonts w:eastAsiaTheme="majorEastAsia" w:cstheme="majorBidi"/>
      <w:b/>
      <w:bCs/>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23"/>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rsid w:val="00F32923"/>
    <w:rPr>
      <w:rFonts w:eastAsiaTheme="majorEastAsia" w:cstheme="majorBidi"/>
      <w:b/>
      <w:bCs/>
      <w:color w:val="1F497D" w:themeColor="text2"/>
      <w:sz w:val="32"/>
      <w:szCs w:val="26"/>
    </w:rPr>
  </w:style>
  <w:style w:type="paragraph" w:styleId="ListParagraph">
    <w:name w:val="List Paragraph"/>
    <w:basedOn w:val="Normal"/>
    <w:uiPriority w:val="34"/>
    <w:qFormat/>
    <w:rsid w:val="00413975"/>
    <w:pPr>
      <w:ind w:left="720"/>
      <w:contextualSpacing/>
    </w:pPr>
  </w:style>
  <w:style w:type="table" w:styleId="TableGrid">
    <w:name w:val="Table Grid"/>
    <w:basedOn w:val="TableNormal"/>
    <w:uiPriority w:val="59"/>
    <w:rsid w:val="009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47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72DF"/>
    <w:rPr>
      <w:rFonts w:eastAsiaTheme="majorEastAsia" w:cstheme="majorBidi"/>
      <w:b/>
      <w:bCs/>
      <w:color w:val="000000" w:themeColor="text1"/>
      <w:sz w:val="28"/>
    </w:rPr>
  </w:style>
  <w:style w:type="paragraph" w:styleId="TOCHeading">
    <w:name w:val="TOC Heading"/>
    <w:basedOn w:val="Heading1"/>
    <w:next w:val="Normal"/>
    <w:uiPriority w:val="39"/>
    <w:semiHidden/>
    <w:unhideWhenUsed/>
    <w:qFormat/>
    <w:rsid w:val="00B172DF"/>
    <w:pPr>
      <w:spacing w:before="480"/>
      <w:outlineLvl w:val="9"/>
    </w:pPr>
    <w:rPr>
      <w:rFonts w:asciiTheme="majorHAnsi" w:hAnsiTheme="majorHAnsi"/>
      <w:sz w:val="28"/>
      <w:lang w:eastAsia="ja-JP"/>
    </w:rPr>
  </w:style>
  <w:style w:type="paragraph" w:styleId="TOC1">
    <w:name w:val="toc 1"/>
    <w:basedOn w:val="Normal"/>
    <w:next w:val="Normal"/>
    <w:autoRedefine/>
    <w:uiPriority w:val="39"/>
    <w:unhideWhenUsed/>
    <w:rsid w:val="00B172DF"/>
    <w:pPr>
      <w:spacing w:after="100"/>
    </w:pPr>
  </w:style>
  <w:style w:type="paragraph" w:styleId="TOC2">
    <w:name w:val="toc 2"/>
    <w:basedOn w:val="Normal"/>
    <w:next w:val="Normal"/>
    <w:autoRedefine/>
    <w:uiPriority w:val="39"/>
    <w:unhideWhenUsed/>
    <w:rsid w:val="00B172DF"/>
    <w:pPr>
      <w:spacing w:after="100"/>
      <w:ind w:left="220"/>
    </w:pPr>
  </w:style>
  <w:style w:type="paragraph" w:styleId="TOC3">
    <w:name w:val="toc 3"/>
    <w:basedOn w:val="Normal"/>
    <w:next w:val="Normal"/>
    <w:autoRedefine/>
    <w:uiPriority w:val="39"/>
    <w:unhideWhenUsed/>
    <w:rsid w:val="00B172DF"/>
    <w:pPr>
      <w:spacing w:after="100"/>
      <w:ind w:left="440"/>
    </w:pPr>
  </w:style>
  <w:style w:type="character" w:styleId="Hyperlink">
    <w:name w:val="Hyperlink"/>
    <w:basedOn w:val="DefaultParagraphFont"/>
    <w:uiPriority w:val="99"/>
    <w:unhideWhenUsed/>
    <w:rsid w:val="00B172DF"/>
    <w:rPr>
      <w:color w:val="0000FF" w:themeColor="hyperlink"/>
      <w:u w:val="single"/>
    </w:rPr>
  </w:style>
  <w:style w:type="paragraph" w:styleId="BalloonText">
    <w:name w:val="Balloon Text"/>
    <w:basedOn w:val="Normal"/>
    <w:link w:val="BalloonTextChar"/>
    <w:uiPriority w:val="99"/>
    <w:semiHidden/>
    <w:unhideWhenUsed/>
    <w:rsid w:val="00B1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2DF"/>
    <w:rPr>
      <w:rFonts w:ascii="Tahoma" w:hAnsi="Tahoma" w:cs="Tahoma"/>
      <w:sz w:val="16"/>
      <w:szCs w:val="16"/>
    </w:rPr>
  </w:style>
  <w:style w:type="paragraph" w:styleId="Title">
    <w:name w:val="Title"/>
    <w:basedOn w:val="Normal"/>
    <w:next w:val="Normal"/>
    <w:link w:val="TitleChar"/>
    <w:uiPriority w:val="10"/>
    <w:qFormat/>
    <w:rsid w:val="00B172D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B172DF"/>
    <w:rPr>
      <w:rFonts w:eastAsiaTheme="majorEastAsia" w:cstheme="majorBidi"/>
      <w:color w:val="17365D" w:themeColor="text2" w:themeShade="BF"/>
      <w:spacing w:val="5"/>
      <w:kern w:val="28"/>
      <w:sz w:val="36"/>
      <w:szCs w:val="52"/>
    </w:rPr>
  </w:style>
  <w:style w:type="paragraph" w:styleId="Header">
    <w:name w:val="header"/>
    <w:basedOn w:val="Normal"/>
    <w:link w:val="HeaderChar"/>
    <w:uiPriority w:val="99"/>
    <w:unhideWhenUsed/>
    <w:rsid w:val="0045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71"/>
  </w:style>
  <w:style w:type="paragraph" w:styleId="Footer">
    <w:name w:val="footer"/>
    <w:basedOn w:val="Normal"/>
    <w:link w:val="FooterChar"/>
    <w:uiPriority w:val="99"/>
    <w:unhideWhenUsed/>
    <w:rsid w:val="0045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71"/>
  </w:style>
  <w:style w:type="character" w:customStyle="1" w:styleId="Heading4Char">
    <w:name w:val="Heading 4 Char"/>
    <w:basedOn w:val="DefaultParagraphFont"/>
    <w:link w:val="Heading4"/>
    <w:uiPriority w:val="9"/>
    <w:rsid w:val="00456A71"/>
    <w:rPr>
      <w:rFonts w:eastAsiaTheme="majorEastAsia" w:cstheme="majorBidi"/>
      <w:b/>
      <w:bCs/>
      <w:iCs/>
      <w:color w:val="000000" w:themeColor="text1"/>
      <w:sz w:val="28"/>
    </w:rPr>
  </w:style>
  <w:style w:type="character" w:styleId="CommentReference">
    <w:name w:val="annotation reference"/>
    <w:basedOn w:val="DefaultParagraphFont"/>
    <w:uiPriority w:val="99"/>
    <w:semiHidden/>
    <w:unhideWhenUsed/>
    <w:rsid w:val="004A3313"/>
    <w:rPr>
      <w:sz w:val="16"/>
      <w:szCs w:val="16"/>
    </w:rPr>
  </w:style>
  <w:style w:type="paragraph" w:styleId="CommentText">
    <w:name w:val="annotation text"/>
    <w:basedOn w:val="Normal"/>
    <w:link w:val="CommentTextChar"/>
    <w:uiPriority w:val="99"/>
    <w:semiHidden/>
    <w:unhideWhenUsed/>
    <w:rsid w:val="004A3313"/>
    <w:pPr>
      <w:spacing w:line="240" w:lineRule="auto"/>
    </w:pPr>
    <w:rPr>
      <w:sz w:val="20"/>
      <w:szCs w:val="20"/>
    </w:rPr>
  </w:style>
  <w:style w:type="character" w:customStyle="1" w:styleId="CommentTextChar">
    <w:name w:val="Comment Text Char"/>
    <w:basedOn w:val="DefaultParagraphFont"/>
    <w:link w:val="CommentText"/>
    <w:uiPriority w:val="99"/>
    <w:semiHidden/>
    <w:rsid w:val="004A3313"/>
    <w:rPr>
      <w:sz w:val="20"/>
      <w:szCs w:val="20"/>
    </w:rPr>
  </w:style>
  <w:style w:type="paragraph" w:styleId="CommentSubject">
    <w:name w:val="annotation subject"/>
    <w:basedOn w:val="CommentText"/>
    <w:next w:val="CommentText"/>
    <w:link w:val="CommentSubjectChar"/>
    <w:uiPriority w:val="99"/>
    <w:semiHidden/>
    <w:unhideWhenUsed/>
    <w:rsid w:val="004A3313"/>
    <w:rPr>
      <w:b/>
      <w:bCs/>
    </w:rPr>
  </w:style>
  <w:style w:type="character" w:customStyle="1" w:styleId="CommentSubjectChar">
    <w:name w:val="Comment Subject Char"/>
    <w:basedOn w:val="CommentTextChar"/>
    <w:link w:val="CommentSubject"/>
    <w:uiPriority w:val="99"/>
    <w:semiHidden/>
    <w:rsid w:val="004A3313"/>
    <w:rPr>
      <w:b/>
      <w:bCs/>
      <w:sz w:val="20"/>
      <w:szCs w:val="20"/>
    </w:rPr>
  </w:style>
  <w:style w:type="paragraph" w:styleId="Revision">
    <w:name w:val="Revision"/>
    <w:hidden/>
    <w:uiPriority w:val="99"/>
    <w:semiHidden/>
    <w:rsid w:val="00716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1381">
      <w:bodyDiv w:val="1"/>
      <w:marLeft w:val="0"/>
      <w:marRight w:val="0"/>
      <w:marTop w:val="0"/>
      <w:marBottom w:val="0"/>
      <w:divBdr>
        <w:top w:val="none" w:sz="0" w:space="0" w:color="auto"/>
        <w:left w:val="none" w:sz="0" w:space="0" w:color="auto"/>
        <w:bottom w:val="none" w:sz="0" w:space="0" w:color="auto"/>
        <w:right w:val="none" w:sz="0" w:space="0" w:color="auto"/>
      </w:divBdr>
    </w:div>
    <w:div w:id="1512987538">
      <w:bodyDiv w:val="1"/>
      <w:marLeft w:val="0"/>
      <w:marRight w:val="0"/>
      <w:marTop w:val="0"/>
      <w:marBottom w:val="0"/>
      <w:divBdr>
        <w:top w:val="none" w:sz="0" w:space="0" w:color="auto"/>
        <w:left w:val="none" w:sz="0" w:space="0" w:color="auto"/>
        <w:bottom w:val="none" w:sz="0" w:space="0" w:color="auto"/>
        <w:right w:val="none" w:sz="0" w:space="0" w:color="auto"/>
      </w:divBdr>
      <w:divsChild>
        <w:div w:id="111294010">
          <w:marLeft w:val="0"/>
          <w:marRight w:val="0"/>
          <w:marTop w:val="0"/>
          <w:marBottom w:val="0"/>
          <w:divBdr>
            <w:top w:val="none" w:sz="0" w:space="0" w:color="auto"/>
            <w:left w:val="none" w:sz="0" w:space="0" w:color="auto"/>
            <w:bottom w:val="none" w:sz="0" w:space="0" w:color="auto"/>
            <w:right w:val="none" w:sz="0" w:space="0" w:color="auto"/>
          </w:divBdr>
        </w:div>
        <w:div w:id="284779761">
          <w:marLeft w:val="0"/>
          <w:marRight w:val="0"/>
          <w:marTop w:val="0"/>
          <w:marBottom w:val="0"/>
          <w:divBdr>
            <w:top w:val="none" w:sz="0" w:space="0" w:color="auto"/>
            <w:left w:val="none" w:sz="0" w:space="0" w:color="auto"/>
            <w:bottom w:val="none" w:sz="0" w:space="0" w:color="auto"/>
            <w:right w:val="none" w:sz="0" w:space="0" w:color="auto"/>
          </w:divBdr>
        </w:div>
      </w:divsChild>
    </w:div>
    <w:div w:id="19318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ba113-29e5-4a73-b083-7dd701074085" xsi:nil="true"/>
    <lcf76f155ced4ddcb4097134ff3c332f xmlns="f2592037-8b23-4021-9336-08dd31f3fa5a">
      <Terms xmlns="http://schemas.microsoft.com/office/infopath/2007/PartnerControls"/>
    </lcf76f155ced4ddcb4097134ff3c332f>
    <Date xmlns="f2592037-8b23-4021-9336-08dd31f3fa5a">2026-04-14T04:49:13+00:00</Date>
    <sequence xmlns="f2592037-8b23-4021-9336-08dd31f3fa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CBEF449859724D9B5AB16D01D5BD65" ma:contentTypeVersion="23" ma:contentTypeDescription="Create a new document." ma:contentTypeScope="" ma:versionID="dc045dec4f8b9dea7eed5281dde2f630">
  <xsd:schema xmlns:xsd="http://www.w3.org/2001/XMLSchema" xmlns:xs="http://www.w3.org/2001/XMLSchema" xmlns:p="http://schemas.microsoft.com/office/2006/metadata/properties" xmlns:ns2="031ba113-29e5-4a73-b083-7dd701074085" xmlns:ns3="f2592037-8b23-4021-9336-08dd31f3fa5a" targetNamespace="http://schemas.microsoft.com/office/2006/metadata/properties" ma:root="true" ma:fieldsID="431b2676cc83c941b490162fc564eaff" ns2:_="" ns3:_="">
    <xsd:import namespace="031ba113-29e5-4a73-b083-7dd701074085"/>
    <xsd:import namespace="f2592037-8b23-4021-9336-08dd31f3f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Date" minOccurs="0"/>
                <xsd:element ref="ns3:sequenc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a113-29e5-4a73-b083-7dd7010740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6a0633d-b28f-406c-b0c8-253c772c0b9c}" ma:internalName="TaxCatchAll" ma:showField="CatchAllData" ma:web="031ba113-29e5-4a73-b083-7dd7010740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592037-8b23-4021-9336-08dd31f3f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424af-8e59-4daf-ae82-76d5aca83364"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default="[today]" ma:format="DateTime" ma:internalName="Date">
      <xsd:simpleType>
        <xsd:restriction base="dms:DateTime"/>
      </xsd:simpleType>
    </xsd:element>
    <xsd:element name="sequence" ma:index="25" nillable="true" ma:displayName="sequence" ma:format="Dropdown" ma:internalName="sequence" ma:percentage="FALSE">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5C203-67FA-485B-BAB3-26A192310EE2}">
  <ds:schemaRefs>
    <ds:schemaRef ds:uri="031ba113-29e5-4a73-b083-7dd701074085"/>
    <ds:schemaRef ds:uri="http://purl.org/dc/dcmitype/"/>
    <ds:schemaRef ds:uri="http://schemas.microsoft.com/office/2006/documentManagement/types"/>
    <ds:schemaRef ds:uri="http://purl.org/dc/elements/1.1/"/>
    <ds:schemaRef ds:uri="http://purl.org/dc/terms/"/>
    <ds:schemaRef ds:uri="http://schemas.microsoft.com/office/2006/metadata/properties"/>
    <ds:schemaRef ds:uri="f2592037-8b23-4021-9336-08dd31f3fa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56291B-3EA8-4B34-87EF-E0F25C3B8DF1}">
  <ds:schemaRefs>
    <ds:schemaRef ds:uri="http://schemas.microsoft.com/sharepoint/v3/contenttype/forms"/>
  </ds:schemaRefs>
</ds:datastoreItem>
</file>

<file path=customXml/itemProps3.xml><?xml version="1.0" encoding="utf-8"?>
<ds:datastoreItem xmlns:ds="http://schemas.openxmlformats.org/officeDocument/2006/customXml" ds:itemID="{96BBA392-0DA2-406E-ABD0-581DFA447703}">
  <ds:schemaRefs>
    <ds:schemaRef ds:uri="http://schemas.openxmlformats.org/officeDocument/2006/bibliography"/>
  </ds:schemaRefs>
</ds:datastoreItem>
</file>

<file path=customXml/itemProps4.xml><?xml version="1.0" encoding="utf-8"?>
<ds:datastoreItem xmlns:ds="http://schemas.openxmlformats.org/officeDocument/2006/customXml" ds:itemID="{22A0F9B2-946C-4028-B038-A802E4C9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a113-29e5-4a73-b083-7dd701074085"/>
    <ds:schemaRef ds:uri="f2592037-8b23-4021-9336-08dd31f3f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1338</Words>
  <Characters>9433</Characters>
  <Application>Microsoft Office Word</Application>
  <DocSecurity>0</DocSecurity>
  <Lines>314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Aniket Tamhane</cp:lastModifiedBy>
  <cp:revision>2</cp:revision>
  <cp:lastPrinted>2023-09-20T03:16:00Z</cp:lastPrinted>
  <dcterms:created xsi:type="dcterms:W3CDTF">2026-05-06T10:21:00Z</dcterms:created>
  <dcterms:modified xsi:type="dcterms:W3CDTF">2026-05-06T10:21:00Z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0x01010095CBEF449859724D9B5AB16D01D5BD65</vt:lpwstr>
  </property>
  <property fmtid="{D5CDD505-2E9C-101B-9397-08002B2CF9AE}" pid="3" name="MediaServiceImageTags">
    <vt:lpwstr/>
  </property>
</Properties>
</file>